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E05D8" w14:textId="71E928CC" w:rsidR="00D56463" w:rsidRDefault="00CC340A" w:rsidP="003A50E9">
      <w:pPr>
        <w:pStyle w:val="HeadingLevel2"/>
        <w:jc w:val="center"/>
      </w:pPr>
      <w:r>
        <w:t xml:space="preserve">CRYPTO ASSIST </w:t>
      </w:r>
      <w:r w:rsidR="003A50E9">
        <w:t>NON-DISCLOSURE AGREEMENT</w:t>
      </w:r>
    </w:p>
    <w:p w14:paraId="29E4BA55" w14:textId="77777777" w:rsidR="003A50E9" w:rsidRDefault="003A50E9" w:rsidP="004C2FA6">
      <w:pPr>
        <w:pStyle w:val="IntroDefault"/>
      </w:pPr>
    </w:p>
    <w:p w14:paraId="607E05D9" w14:textId="5C74C423" w:rsidR="00D56463" w:rsidRDefault="00D56463" w:rsidP="004C2FA6">
      <w:pPr>
        <w:pStyle w:val="IntroDefault"/>
      </w:pPr>
      <w:r>
        <w:t xml:space="preserve">This agreement is dated </w:t>
      </w:r>
      <w:r w:rsidR="003A50E9">
        <w:t>________</w:t>
      </w:r>
    </w:p>
    <w:p w14:paraId="607E05DA" w14:textId="77777777" w:rsidR="00D56463" w:rsidRDefault="00D56463" w:rsidP="004C2FA6">
      <w:pPr>
        <w:pStyle w:val="DescriptiveHeading"/>
      </w:pPr>
      <w:r>
        <w:t>Parties</w:t>
      </w:r>
    </w:p>
    <w:p w14:paraId="607E05DB" w14:textId="54DEB6BD" w:rsidR="00D56463" w:rsidRDefault="00310529" w:rsidP="00CC340A">
      <w:pPr>
        <w:pStyle w:val="Parties"/>
        <w:tabs>
          <w:tab w:val="left" w:pos="5954"/>
        </w:tabs>
      </w:pPr>
      <w:r>
        <w:t>_______</w:t>
      </w:r>
      <w:r w:rsidR="0096278E">
        <w:t xml:space="preserve"> (trading as </w:t>
      </w:r>
      <w:r w:rsidR="00CC340A">
        <w:t xml:space="preserve">Crypto </w:t>
      </w:r>
      <w:r w:rsidR="0096278E">
        <w:t>Assist)</w:t>
      </w:r>
      <w:r w:rsidR="002764D7">
        <w:t xml:space="preserve">, registered in England under company number </w:t>
      </w:r>
      <w:r>
        <w:t>_____</w:t>
      </w:r>
      <w:r w:rsidR="002764D7">
        <w:t xml:space="preserve">, and </w:t>
      </w:r>
      <w:r w:rsidR="00507ED8">
        <w:t xml:space="preserve">whose registered office is at </w:t>
      </w:r>
      <w:r>
        <w:t xml:space="preserve">__________ </w:t>
      </w:r>
      <w:r w:rsidR="00D56463">
        <w:t>(</w:t>
      </w:r>
      <w:r w:rsidR="00CC340A">
        <w:rPr>
          <w:rStyle w:val="DefTerm"/>
        </w:rPr>
        <w:t>Crypto Assist</w:t>
      </w:r>
      <w:r w:rsidR="00D56463">
        <w:t>)</w:t>
      </w:r>
    </w:p>
    <w:p w14:paraId="607E05DC" w14:textId="390A129E" w:rsidR="00D56463" w:rsidRDefault="00A90BBE" w:rsidP="004C2FA6">
      <w:pPr>
        <w:pStyle w:val="Parties"/>
      </w:pPr>
      <w:r>
        <w:t>___________</w:t>
      </w:r>
      <w:r w:rsidR="00D56463">
        <w:t xml:space="preserve"> (</w:t>
      </w:r>
      <w:r w:rsidR="003B2EBC">
        <w:rPr>
          <w:rStyle w:val="DefTerm"/>
        </w:rPr>
        <w:t>Enquirer</w:t>
      </w:r>
      <w:r w:rsidR="00D56463">
        <w:t xml:space="preserve">) </w:t>
      </w:r>
    </w:p>
    <w:p w14:paraId="607E05DD" w14:textId="77777777" w:rsidR="00D56463" w:rsidRDefault="00D56463" w:rsidP="004C2FA6">
      <w:pPr>
        <w:pStyle w:val="DescriptiveHeading"/>
      </w:pPr>
      <w:r>
        <w:t>BACKGROUND</w:t>
      </w:r>
    </w:p>
    <w:p w14:paraId="607E05DE" w14:textId="593664D2" w:rsidR="00D56463" w:rsidRDefault="00D56463" w:rsidP="00CC340A">
      <w:pPr>
        <w:pStyle w:val="Background"/>
      </w:pPr>
      <w:bookmarkStart w:id="0" w:name="a786816"/>
      <w:r>
        <w:t xml:space="preserve">The </w:t>
      </w:r>
      <w:r w:rsidR="003B2EBC">
        <w:t xml:space="preserve">Enquirer wishes to </w:t>
      </w:r>
      <w:r w:rsidR="003159C3">
        <w:t>expl</w:t>
      </w:r>
      <w:r w:rsidR="00757764">
        <w:t xml:space="preserve">ore </w:t>
      </w:r>
      <w:r w:rsidR="00C43C92">
        <w:t xml:space="preserve">the </w:t>
      </w:r>
      <w:r w:rsidR="00932321">
        <w:t xml:space="preserve">possibility/suitability of retaining </w:t>
      </w:r>
      <w:r w:rsidR="00CC340A">
        <w:t>Crypto Assist</w:t>
      </w:r>
      <w:r w:rsidR="00C43C92">
        <w:t xml:space="preserve"> </w:t>
      </w:r>
      <w:r w:rsidR="00932321">
        <w:t>either on its own behalf or on behalf of a third party</w:t>
      </w:r>
      <w:r w:rsidR="00CC340A">
        <w:t xml:space="preserve"> (the “</w:t>
      </w:r>
      <w:r w:rsidR="00CC340A" w:rsidRPr="00CC340A">
        <w:rPr>
          <w:b/>
          <w:bCs/>
        </w:rPr>
        <w:t>Purpose</w:t>
      </w:r>
      <w:r w:rsidR="00CC340A">
        <w:t>”)</w:t>
      </w:r>
      <w:r w:rsidR="00932321">
        <w:t>.</w:t>
      </w:r>
      <w:r w:rsidR="00CC340A">
        <w:t xml:space="preserve"> The </w:t>
      </w:r>
      <w:r>
        <w:t xml:space="preserve">discussions relating to the Purpose will involve the disclosure of confidential information </w:t>
      </w:r>
      <w:r w:rsidR="00CC340A">
        <w:t>by the Enquirer</w:t>
      </w:r>
      <w:r>
        <w:t xml:space="preserve"> to </w:t>
      </w:r>
      <w:r w:rsidR="00CC340A">
        <w:t>Crypto Assist</w:t>
      </w:r>
      <w:r>
        <w:t>.</w:t>
      </w:r>
      <w:bookmarkEnd w:id="0"/>
    </w:p>
    <w:p w14:paraId="607E05DF" w14:textId="51E4C5F5" w:rsidR="00D56463" w:rsidRDefault="00D56463" w:rsidP="004C2FA6">
      <w:pPr>
        <w:pStyle w:val="Background"/>
      </w:pPr>
      <w:bookmarkStart w:id="1" w:name="a962538"/>
      <w:r>
        <w:t xml:space="preserve">The parties have agreed to comply with this agreement in connection with the disclosure and use of </w:t>
      </w:r>
      <w:r w:rsidR="00CC340A">
        <w:t xml:space="preserve">such </w:t>
      </w:r>
      <w:r>
        <w:t>Confidential Information.</w:t>
      </w:r>
      <w:bookmarkEnd w:id="1"/>
    </w:p>
    <w:p w14:paraId="607E05F8" w14:textId="77777777" w:rsidR="00D56463" w:rsidRDefault="00D56463" w:rsidP="004C2FA6">
      <w:pPr>
        <w:pStyle w:val="TitleClause"/>
      </w:pPr>
      <w:r>
        <w:fldChar w:fldCharType="begin"/>
      </w:r>
      <w:r>
        <w:instrText>TC "2. Confidential Information" \l 1</w:instrText>
      </w:r>
      <w:r>
        <w:fldChar w:fldCharType="end"/>
      </w:r>
      <w:bookmarkStart w:id="2" w:name="_Toc256000001"/>
      <w:bookmarkStart w:id="3" w:name="a640922"/>
      <w:r>
        <w:t>Confidential Information</w:t>
      </w:r>
      <w:bookmarkEnd w:id="2"/>
      <w:bookmarkEnd w:id="3"/>
    </w:p>
    <w:p w14:paraId="607E05F9" w14:textId="4DDB0A68" w:rsidR="00D56463" w:rsidRDefault="00D56463" w:rsidP="004C2FA6">
      <w:pPr>
        <w:pStyle w:val="Untitledsubclause1"/>
        <w:rPr>
          <w:b/>
        </w:rPr>
      </w:pPr>
      <w:bookmarkStart w:id="4" w:name="a421681"/>
      <w:r>
        <w:rPr>
          <w:b/>
        </w:rPr>
        <w:t>Confidential Information</w:t>
      </w:r>
      <w:r>
        <w:t xml:space="preserve"> means all confidential information relating to the Purpose which </w:t>
      </w:r>
      <w:r w:rsidR="00CC340A">
        <w:t>Enquirer</w:t>
      </w:r>
      <w:r>
        <w:t xml:space="preserve"> directly or indirectly discloses to </w:t>
      </w:r>
      <w:r w:rsidR="00CC340A">
        <w:t>Crypto Assist</w:t>
      </w:r>
      <w:r>
        <w:t xml:space="preserve"> on or after the date of this agreement. This includes:</w:t>
      </w:r>
      <w:bookmarkEnd w:id="4"/>
    </w:p>
    <w:p w14:paraId="607E05FA" w14:textId="77777777" w:rsidR="00D56463" w:rsidRDefault="00D56463" w:rsidP="004C2FA6">
      <w:pPr>
        <w:pStyle w:val="Untitledsubclause2"/>
      </w:pPr>
      <w:bookmarkStart w:id="5" w:name="a905142"/>
      <w:r>
        <w:t xml:space="preserve">the fact that discussions and negotiations are taking place concerning the Purpose and the status of those discussions and </w:t>
      </w:r>
      <w:proofErr w:type="gramStart"/>
      <w:r>
        <w:t>negotiations;</w:t>
      </w:r>
      <w:bookmarkEnd w:id="5"/>
      <w:proofErr w:type="gramEnd"/>
    </w:p>
    <w:p w14:paraId="607E05FC" w14:textId="77777777" w:rsidR="00D56463" w:rsidRDefault="00D56463" w:rsidP="004C2FA6">
      <w:pPr>
        <w:pStyle w:val="Untitledsubclause2"/>
      </w:pPr>
      <w:bookmarkStart w:id="6" w:name="a357981"/>
      <w:r>
        <w:t>all confidential or proprietary information relating to:</w:t>
      </w:r>
      <w:bookmarkEnd w:id="6"/>
    </w:p>
    <w:p w14:paraId="607E05FD" w14:textId="1C199B99" w:rsidR="00D56463" w:rsidRDefault="00D56463" w:rsidP="004C2FA6">
      <w:pPr>
        <w:pStyle w:val="Untitledsubclause3"/>
      </w:pPr>
      <w:bookmarkStart w:id="7" w:name="a823584"/>
      <w:r>
        <w:t xml:space="preserve">the </w:t>
      </w:r>
      <w:r w:rsidR="002A5381">
        <w:t xml:space="preserve">crypto currency, NFTs or other digital assets, </w:t>
      </w:r>
      <w:r>
        <w:t xml:space="preserve">business, </w:t>
      </w:r>
      <w:r w:rsidR="00DF7C0B">
        <w:t xml:space="preserve">other </w:t>
      </w:r>
      <w:r>
        <w:t>assets, affairs, customers, clients, suppliers</w:t>
      </w:r>
      <w:r w:rsidR="00DF7C0B">
        <w:t xml:space="preserve"> </w:t>
      </w:r>
      <w:r>
        <w:t xml:space="preserve">or plans, intentions, or market opportunities of </w:t>
      </w:r>
      <w:r w:rsidR="00CC340A">
        <w:t>Enquirer</w:t>
      </w:r>
      <w:r>
        <w:t xml:space="preserve"> or </w:t>
      </w:r>
      <w:r w:rsidR="00DF7C0B">
        <w:t xml:space="preserve">the party the </w:t>
      </w:r>
      <w:r w:rsidR="00CC340A">
        <w:t>Enquirer</w:t>
      </w:r>
      <w:r>
        <w:t xml:space="preserve">'s </w:t>
      </w:r>
      <w:r w:rsidR="00DF7C0B">
        <w:t>represents</w:t>
      </w:r>
      <w:r>
        <w:t>; and</w:t>
      </w:r>
      <w:bookmarkEnd w:id="7"/>
    </w:p>
    <w:p w14:paraId="768270D6" w14:textId="0F0FCE32" w:rsidR="00961EE3" w:rsidRDefault="00D56463" w:rsidP="00961EE3">
      <w:pPr>
        <w:pStyle w:val="Untitledsubclause3"/>
      </w:pPr>
      <w:bookmarkStart w:id="8" w:name="a874931"/>
      <w:r>
        <w:t xml:space="preserve">any other information that is identified as being of a confidential or proprietary </w:t>
      </w:r>
      <w:proofErr w:type="gramStart"/>
      <w:r>
        <w:t>nature</w:t>
      </w:r>
      <w:bookmarkEnd w:id="8"/>
      <w:r w:rsidR="00961EE3">
        <w:t>;</w:t>
      </w:r>
      <w:proofErr w:type="gramEnd"/>
    </w:p>
    <w:p w14:paraId="607E0602" w14:textId="29C11358" w:rsidR="00D56463" w:rsidRDefault="00D56463" w:rsidP="00961EE3">
      <w:pPr>
        <w:pStyle w:val="Untitledsubclause2"/>
      </w:pPr>
      <w:r>
        <w:t xml:space="preserve">but excludes any information referred to in </w:t>
      </w:r>
      <w:r>
        <w:fldChar w:fldCharType="begin"/>
      </w:r>
      <w:r>
        <w:instrText>PAGEREF a600860\# "'clause '"  \h</w:instrText>
      </w:r>
      <w:r>
        <w:fldChar w:fldCharType="separate"/>
      </w:r>
      <w:r>
        <w:t xml:space="preserve">clause </w:t>
      </w:r>
      <w:r>
        <w:fldChar w:fldCharType="end"/>
      </w:r>
      <w:r>
        <w:fldChar w:fldCharType="begin"/>
      </w:r>
      <w:r>
        <w:rPr>
          <w:highlight w:val="lightGray"/>
        </w:rPr>
        <w:instrText>REF a600860 \h \w</w:instrText>
      </w:r>
      <w:r>
        <w:fldChar w:fldCharType="separate"/>
      </w:r>
      <w:r w:rsidR="00B10855">
        <w:rPr>
          <w:highlight w:val="lightGray"/>
        </w:rPr>
        <w:t>1.2</w:t>
      </w:r>
      <w:r>
        <w:fldChar w:fldCharType="end"/>
      </w:r>
      <w:r>
        <w:t>.</w:t>
      </w:r>
    </w:p>
    <w:p w14:paraId="607E0603" w14:textId="77777777" w:rsidR="00D56463" w:rsidRDefault="00D56463" w:rsidP="004C2FA6">
      <w:pPr>
        <w:pStyle w:val="Untitledsubclause1"/>
      </w:pPr>
      <w:bookmarkStart w:id="9" w:name="a600860"/>
      <w:r>
        <w:t>Information is not Confidential Information if:</w:t>
      </w:r>
      <w:bookmarkEnd w:id="9"/>
    </w:p>
    <w:p w14:paraId="31D3F6A8" w14:textId="77777777" w:rsidR="00B10855" w:rsidRDefault="00D56463" w:rsidP="004C2FA6">
      <w:pPr>
        <w:pStyle w:val="Untitledsubclause2"/>
      </w:pPr>
      <w:bookmarkStart w:id="10" w:name="a895488"/>
      <w:r>
        <w:lastRenderedPageBreak/>
        <w:t xml:space="preserve">it is, or becomes, generally available to the public other than as a direct or indirect result of the information being disclosed by </w:t>
      </w:r>
      <w:r w:rsidR="00CC340A">
        <w:t>Crypto Assist</w:t>
      </w:r>
      <w:r>
        <w:t xml:space="preserve"> in breach of this </w:t>
      </w:r>
      <w:proofErr w:type="gramStart"/>
      <w:r>
        <w:t>agreement</w:t>
      </w:r>
      <w:bookmarkStart w:id="11" w:name="a994113"/>
      <w:bookmarkEnd w:id="10"/>
      <w:r w:rsidR="00B10855">
        <w:t>;</w:t>
      </w:r>
      <w:proofErr w:type="gramEnd"/>
    </w:p>
    <w:p w14:paraId="607E0605" w14:textId="12DFE153" w:rsidR="00D56463" w:rsidRDefault="00D56463" w:rsidP="004C2FA6">
      <w:pPr>
        <w:pStyle w:val="Untitledsubclause2"/>
      </w:pPr>
      <w:r>
        <w:t xml:space="preserve">it was available to </w:t>
      </w:r>
      <w:r w:rsidR="00CC340A">
        <w:t>Crypto Assist</w:t>
      </w:r>
      <w:r>
        <w:t xml:space="preserve"> on a non-confidential basis prior to disclosure by </w:t>
      </w:r>
      <w:proofErr w:type="gramStart"/>
      <w:r w:rsidR="00CC340A">
        <w:t>Enquirer</w:t>
      </w:r>
      <w:r>
        <w:t>;</w:t>
      </w:r>
      <w:bookmarkEnd w:id="11"/>
      <w:proofErr w:type="gramEnd"/>
    </w:p>
    <w:p w14:paraId="607E0606" w14:textId="616552EA" w:rsidR="00D56463" w:rsidRDefault="00D56463" w:rsidP="004C2FA6">
      <w:pPr>
        <w:pStyle w:val="Untitledsubclause2"/>
      </w:pPr>
      <w:bookmarkStart w:id="12" w:name="a220762"/>
      <w:r>
        <w:t xml:space="preserve">it was, is, or becomes available to </w:t>
      </w:r>
      <w:r w:rsidR="00CC340A">
        <w:t>Crypto Assist</w:t>
      </w:r>
      <w:r>
        <w:t xml:space="preserve"> on a non-confidential basis from a person who, to </w:t>
      </w:r>
      <w:r w:rsidR="00CC340A">
        <w:t>Crypto Assist</w:t>
      </w:r>
      <w:r>
        <w:t xml:space="preserve">'s knowledge, is not under any confidentiality obligation in respect of that </w:t>
      </w:r>
      <w:proofErr w:type="gramStart"/>
      <w:r>
        <w:t>information;</w:t>
      </w:r>
      <w:bookmarkEnd w:id="12"/>
      <w:proofErr w:type="gramEnd"/>
    </w:p>
    <w:p w14:paraId="607E0607" w14:textId="79369150" w:rsidR="00D56463" w:rsidRDefault="00D56463" w:rsidP="004C2FA6">
      <w:pPr>
        <w:pStyle w:val="Untitledsubclause2"/>
      </w:pPr>
      <w:bookmarkStart w:id="13" w:name="a744975"/>
      <w:r>
        <w:t xml:space="preserve">it was lawfully in the possession of </w:t>
      </w:r>
      <w:r w:rsidR="00CC340A">
        <w:t>Crypto Assist</w:t>
      </w:r>
      <w:r>
        <w:t xml:space="preserve"> before the information was disclosed by </w:t>
      </w:r>
      <w:proofErr w:type="gramStart"/>
      <w:r w:rsidR="00CC340A">
        <w:t>Enquirer</w:t>
      </w:r>
      <w:bookmarkEnd w:id="13"/>
      <w:r w:rsidR="00871CF0">
        <w:t>;</w:t>
      </w:r>
      <w:proofErr w:type="gramEnd"/>
    </w:p>
    <w:p w14:paraId="607E0608" w14:textId="78699E38" w:rsidR="00D56463" w:rsidRDefault="00D56463" w:rsidP="004C2FA6">
      <w:pPr>
        <w:pStyle w:val="Untitledsubclause2"/>
      </w:pPr>
      <w:bookmarkStart w:id="14" w:name="a907456"/>
      <w:r>
        <w:t xml:space="preserve">it is developed by or for </w:t>
      </w:r>
      <w:r w:rsidR="00CC340A">
        <w:t>Crypto Assist</w:t>
      </w:r>
      <w:r>
        <w:t xml:space="preserve"> independently of the information disclosed by </w:t>
      </w:r>
      <w:r w:rsidR="00CC340A">
        <w:t>Enquirer</w:t>
      </w:r>
      <w:bookmarkEnd w:id="14"/>
      <w:r w:rsidR="00871CF0">
        <w:t>; or</w:t>
      </w:r>
    </w:p>
    <w:p w14:paraId="607E0609" w14:textId="77777777" w:rsidR="00D56463" w:rsidRDefault="00D56463" w:rsidP="004C2FA6">
      <w:pPr>
        <w:pStyle w:val="Untitledsubclause2"/>
      </w:pPr>
      <w:bookmarkStart w:id="15" w:name="a575434"/>
      <w:r>
        <w:t>the parties agree in writing that the information is not confidential.</w:t>
      </w:r>
      <w:bookmarkEnd w:id="15"/>
    </w:p>
    <w:p w14:paraId="607E060A" w14:textId="77777777" w:rsidR="00D56463" w:rsidRDefault="00D56463" w:rsidP="004C2FA6">
      <w:pPr>
        <w:pStyle w:val="TitleClause"/>
      </w:pPr>
      <w:r>
        <w:fldChar w:fldCharType="begin"/>
      </w:r>
      <w:r>
        <w:instrText>TC "3. Confidentiality obligations" \l 1</w:instrText>
      </w:r>
      <w:r>
        <w:fldChar w:fldCharType="end"/>
      </w:r>
      <w:bookmarkStart w:id="16" w:name="_Toc256000002"/>
      <w:bookmarkStart w:id="17" w:name="a972850"/>
      <w:r>
        <w:t>Confidentiality obligations</w:t>
      </w:r>
      <w:bookmarkEnd w:id="16"/>
      <w:bookmarkEnd w:id="17"/>
    </w:p>
    <w:p w14:paraId="607E060B" w14:textId="0DBA01EB" w:rsidR="00D56463" w:rsidRDefault="00D56463" w:rsidP="004C2FA6">
      <w:pPr>
        <w:pStyle w:val="Untitledsubclause1"/>
      </w:pPr>
      <w:bookmarkStart w:id="18" w:name="a944856"/>
      <w:r>
        <w:t xml:space="preserve">In return for </w:t>
      </w:r>
      <w:r w:rsidR="00CC340A">
        <w:t>Enquirer</w:t>
      </w:r>
      <w:r>
        <w:t xml:space="preserve"> making Confidential Information available to </w:t>
      </w:r>
      <w:r w:rsidR="00CC340A">
        <w:t>Crypto Assist</w:t>
      </w:r>
      <w:r>
        <w:t xml:space="preserve">, </w:t>
      </w:r>
      <w:r w:rsidR="00CC340A">
        <w:t>Crypto Assist</w:t>
      </w:r>
      <w:r>
        <w:t xml:space="preserve"> undertakes to </w:t>
      </w:r>
      <w:r w:rsidR="00CC340A">
        <w:t>Enquirer</w:t>
      </w:r>
      <w:r>
        <w:t xml:space="preserve"> that it shall:</w:t>
      </w:r>
      <w:bookmarkEnd w:id="18"/>
    </w:p>
    <w:p w14:paraId="607E060C" w14:textId="77777777" w:rsidR="00D56463" w:rsidRDefault="00D56463" w:rsidP="004C2FA6">
      <w:pPr>
        <w:pStyle w:val="Untitledsubclause2"/>
      </w:pPr>
      <w:bookmarkStart w:id="19" w:name="a403426"/>
      <w:r>
        <w:t xml:space="preserve">keep the Confidential Information secret and </w:t>
      </w:r>
      <w:proofErr w:type="gramStart"/>
      <w:r>
        <w:t>confidential;</w:t>
      </w:r>
      <w:bookmarkEnd w:id="19"/>
      <w:proofErr w:type="gramEnd"/>
    </w:p>
    <w:p w14:paraId="607E060D" w14:textId="77777777" w:rsidR="00D56463" w:rsidRDefault="00D56463" w:rsidP="004C2FA6">
      <w:pPr>
        <w:pStyle w:val="Untitledsubclause2"/>
      </w:pPr>
      <w:bookmarkStart w:id="20" w:name="a987679"/>
      <w:r>
        <w:t xml:space="preserve">not use or exploit the Confidential Information in any way except for the </w:t>
      </w:r>
      <w:proofErr w:type="gramStart"/>
      <w:r>
        <w:t>Purpose;</w:t>
      </w:r>
      <w:proofErr w:type="gramEnd"/>
      <w:r>
        <w:t xml:space="preserve"> </w:t>
      </w:r>
      <w:bookmarkEnd w:id="20"/>
    </w:p>
    <w:p w14:paraId="607E060E" w14:textId="0C443FFA" w:rsidR="00D56463" w:rsidRDefault="00D56463" w:rsidP="004C2FA6">
      <w:pPr>
        <w:pStyle w:val="Untitledsubclause2"/>
      </w:pPr>
      <w:bookmarkStart w:id="21" w:name="a246211"/>
      <w:r>
        <w:t>not directly or indirectly disclose or make available any Confidential Information in whole or in part to any person, except as expressly permitted by, and in accordance with this agreement</w:t>
      </w:r>
      <w:bookmarkEnd w:id="21"/>
      <w:r w:rsidR="00865390">
        <w:t>.</w:t>
      </w:r>
    </w:p>
    <w:p w14:paraId="607E0617" w14:textId="613B689C" w:rsidR="00D56463" w:rsidRDefault="00CC340A" w:rsidP="004C2FA6">
      <w:pPr>
        <w:pStyle w:val="Untitledsubclause1"/>
      </w:pPr>
      <w:bookmarkStart w:id="22" w:name="a163012"/>
      <w:r>
        <w:t>Crypto Assist</w:t>
      </w:r>
      <w:r w:rsidR="00D56463">
        <w:t xml:space="preserve"> shall establish and maintain adequate security measures to safeguard the Confidential Information from unauthorised access or use. </w:t>
      </w:r>
      <w:bookmarkEnd w:id="22"/>
    </w:p>
    <w:p w14:paraId="607E0618" w14:textId="77777777" w:rsidR="00D56463" w:rsidRDefault="00D56463" w:rsidP="004C2FA6">
      <w:pPr>
        <w:pStyle w:val="TitleClause"/>
      </w:pPr>
      <w:r>
        <w:fldChar w:fldCharType="begin"/>
      </w:r>
      <w:r>
        <w:instrText>TC "4. Permitted disclosure" \l 1</w:instrText>
      </w:r>
      <w:r>
        <w:fldChar w:fldCharType="end"/>
      </w:r>
      <w:bookmarkStart w:id="23" w:name="_Toc256000003"/>
      <w:bookmarkStart w:id="24" w:name="a420225"/>
      <w:r>
        <w:t xml:space="preserve">Permitted </w:t>
      </w:r>
      <w:proofErr w:type="gramStart"/>
      <w:r>
        <w:t>disclosure</w:t>
      </w:r>
      <w:bookmarkEnd w:id="23"/>
      <w:bookmarkEnd w:id="24"/>
      <w:proofErr w:type="gramEnd"/>
    </w:p>
    <w:p w14:paraId="607E0619" w14:textId="3E83B237" w:rsidR="000A7C78" w:rsidRDefault="00CC340A" w:rsidP="000A7C78">
      <w:pPr>
        <w:pStyle w:val="Untitledsubclause1"/>
      </w:pPr>
      <w:bookmarkStart w:id="25" w:name="a603176"/>
      <w:r>
        <w:t>Crypto Assist</w:t>
      </w:r>
      <w:r w:rsidR="00D56463">
        <w:t xml:space="preserve"> may </w:t>
      </w:r>
      <w:r w:rsidR="006F7352">
        <w:t xml:space="preserve">not </w:t>
      </w:r>
      <w:r w:rsidR="00D56463">
        <w:t xml:space="preserve">disclose the Confidential Information </w:t>
      </w:r>
      <w:r w:rsidR="00F10147">
        <w:t xml:space="preserve">save as strictly necessary to </w:t>
      </w:r>
      <w:r w:rsidR="003A4E23">
        <w:t xml:space="preserve">undertake the said discussions </w:t>
      </w:r>
      <w:r w:rsidR="000A7C78">
        <w:t>regarding the Purpose and (if retained) to carry out the Purpose.</w:t>
      </w:r>
      <w:bookmarkStart w:id="26" w:name="a853394"/>
      <w:bookmarkEnd w:id="25"/>
      <w:r w:rsidR="000A7C78">
        <w:t xml:space="preserve"> </w:t>
      </w:r>
    </w:p>
    <w:bookmarkEnd w:id="26"/>
    <w:p w14:paraId="607E061E" w14:textId="77777777" w:rsidR="00D56463" w:rsidRDefault="00D56463" w:rsidP="004C2FA6">
      <w:pPr>
        <w:pStyle w:val="TitleClause"/>
      </w:pPr>
      <w:r>
        <w:fldChar w:fldCharType="begin"/>
      </w:r>
      <w:r>
        <w:instrText>TC "5. Mandatory disclosure" \l 1</w:instrText>
      </w:r>
      <w:r>
        <w:fldChar w:fldCharType="end"/>
      </w:r>
      <w:bookmarkStart w:id="27" w:name="_Toc256000004"/>
      <w:bookmarkStart w:id="28" w:name="a842695"/>
      <w:r>
        <w:t>Mandatory disclosure</w:t>
      </w:r>
      <w:bookmarkEnd w:id="27"/>
      <w:r>
        <w:t xml:space="preserve"> </w:t>
      </w:r>
      <w:bookmarkEnd w:id="28"/>
    </w:p>
    <w:p w14:paraId="607E061F" w14:textId="1EA15B0D" w:rsidR="00D56463" w:rsidRDefault="00D56463" w:rsidP="004C2FA6">
      <w:pPr>
        <w:pStyle w:val="Untitledsubclause1"/>
      </w:pPr>
      <w:bookmarkStart w:id="29" w:name="a392560"/>
      <w:r>
        <w:t xml:space="preserve">Subject to the provisions of </w:t>
      </w:r>
      <w:r w:rsidR="00D44A8B">
        <w:t xml:space="preserve">clause 3 above and </w:t>
      </w:r>
      <w:r>
        <w:t xml:space="preserve">this </w:t>
      </w:r>
      <w:r>
        <w:fldChar w:fldCharType="begin"/>
      </w:r>
      <w:r>
        <w:instrText>PAGEREF a842695\# "'clause '"  \h</w:instrText>
      </w:r>
      <w:r>
        <w:fldChar w:fldCharType="separate"/>
      </w:r>
      <w:r>
        <w:t xml:space="preserve">clause </w:t>
      </w:r>
      <w:r>
        <w:fldChar w:fldCharType="end"/>
      </w:r>
      <w:r>
        <w:fldChar w:fldCharType="begin"/>
      </w:r>
      <w:r>
        <w:rPr>
          <w:highlight w:val="lightGray"/>
        </w:rPr>
        <w:instrText>REF a842695 \h \w</w:instrText>
      </w:r>
      <w:r>
        <w:fldChar w:fldCharType="separate"/>
      </w:r>
      <w:r w:rsidR="00D44A8B">
        <w:rPr>
          <w:highlight w:val="lightGray"/>
        </w:rPr>
        <w:t>4</w:t>
      </w:r>
      <w:r>
        <w:fldChar w:fldCharType="end"/>
      </w:r>
      <w:r>
        <w:t xml:space="preserve">, </w:t>
      </w:r>
      <w:r w:rsidR="00CC340A">
        <w:t>Crypto Assist</w:t>
      </w:r>
      <w:r>
        <w:t xml:space="preserve"> may disclose Confidential Information to the minimum extent required by:</w:t>
      </w:r>
      <w:bookmarkEnd w:id="29"/>
    </w:p>
    <w:p w14:paraId="607E0620" w14:textId="77777777" w:rsidR="00D56463" w:rsidRDefault="00D56463" w:rsidP="004C2FA6">
      <w:pPr>
        <w:pStyle w:val="Untitledsubclause2"/>
      </w:pPr>
      <w:bookmarkStart w:id="30" w:name="a733464"/>
      <w:r>
        <w:lastRenderedPageBreak/>
        <w:t xml:space="preserve">an order of any court of competent jurisdiction or any regulatory, judicial, governmental or similar body or any taxation authority of competent </w:t>
      </w:r>
      <w:proofErr w:type="gramStart"/>
      <w:r>
        <w:t>jurisdiction;</w:t>
      </w:r>
      <w:bookmarkEnd w:id="30"/>
      <w:proofErr w:type="gramEnd"/>
    </w:p>
    <w:p w14:paraId="607E0621" w14:textId="77777777" w:rsidR="00D56463" w:rsidRDefault="00D56463" w:rsidP="004C2FA6">
      <w:pPr>
        <w:pStyle w:val="Untitledsubclause2"/>
      </w:pPr>
      <w:bookmarkStart w:id="31" w:name="a373389"/>
      <w:r>
        <w:t>the rules of any listing authority or stock exchange on which its shares are listed or traded; or</w:t>
      </w:r>
      <w:bookmarkEnd w:id="31"/>
    </w:p>
    <w:p w14:paraId="607E0622" w14:textId="77777777" w:rsidR="00D56463" w:rsidRDefault="00D56463" w:rsidP="004C2FA6">
      <w:pPr>
        <w:pStyle w:val="Untitledsubclause2"/>
      </w:pPr>
      <w:bookmarkStart w:id="32" w:name="a105262"/>
      <w:r>
        <w:t>the laws or regulations of any country to which its affairs are subject.</w:t>
      </w:r>
      <w:bookmarkEnd w:id="32"/>
    </w:p>
    <w:p w14:paraId="607E062A" w14:textId="77777777" w:rsidR="00D56463" w:rsidRDefault="00D56463" w:rsidP="004C2FA6">
      <w:pPr>
        <w:pStyle w:val="TitleClause"/>
      </w:pPr>
      <w:r>
        <w:fldChar w:fldCharType="begin"/>
      </w:r>
      <w:r>
        <w:instrText>TC "7. Reservation of rights and acknowledgement" \l 1</w:instrText>
      </w:r>
      <w:r>
        <w:fldChar w:fldCharType="end"/>
      </w:r>
      <w:bookmarkStart w:id="33" w:name="_Toc256000006"/>
      <w:bookmarkStart w:id="34" w:name="a173962"/>
      <w:r>
        <w:t>Reservation of rights and acknowledgement</w:t>
      </w:r>
      <w:bookmarkEnd w:id="33"/>
      <w:bookmarkEnd w:id="34"/>
    </w:p>
    <w:p w14:paraId="607E062B" w14:textId="622679B6" w:rsidR="00D56463" w:rsidRDefault="00CC340A" w:rsidP="004C2FA6">
      <w:pPr>
        <w:pStyle w:val="Untitledsubclause1"/>
      </w:pPr>
      <w:bookmarkStart w:id="35" w:name="a681962"/>
      <w:r>
        <w:t>Enquirer</w:t>
      </w:r>
      <w:r w:rsidR="00D56463">
        <w:t xml:space="preserve"> reserves all rights in its Confidential Information. The disclosure of Confidential Information by </w:t>
      </w:r>
      <w:r>
        <w:t>Enquirer</w:t>
      </w:r>
      <w:r w:rsidR="00D56463">
        <w:t xml:space="preserve"> to </w:t>
      </w:r>
      <w:r>
        <w:t>Crypto Assist</w:t>
      </w:r>
      <w:r w:rsidR="00D56463">
        <w:t xml:space="preserve"> does not give </w:t>
      </w:r>
      <w:r>
        <w:t>Crypto Assist</w:t>
      </w:r>
      <w:r w:rsidR="00D56463">
        <w:t xml:space="preserve"> or any other person any licence or other right in respect of any Confidential Information beyond the rights expressly set out in this agreement. </w:t>
      </w:r>
      <w:bookmarkEnd w:id="35"/>
    </w:p>
    <w:p w14:paraId="607E0633" w14:textId="77777777" w:rsidR="00D56463" w:rsidRDefault="00D56463" w:rsidP="004C2FA6">
      <w:pPr>
        <w:pStyle w:val="TitleClause"/>
      </w:pPr>
      <w:r>
        <w:fldChar w:fldCharType="begin"/>
      </w:r>
      <w:r>
        <w:instrText>TC "10. No obligation to continue discussions" \l 1</w:instrText>
      </w:r>
      <w:r>
        <w:fldChar w:fldCharType="end"/>
      </w:r>
      <w:bookmarkStart w:id="36" w:name="_Toc256000009"/>
      <w:bookmarkStart w:id="37" w:name="a930845"/>
      <w:r>
        <w:t xml:space="preserve">No obligation to continue </w:t>
      </w:r>
      <w:proofErr w:type="gramStart"/>
      <w:r>
        <w:t>discussions</w:t>
      </w:r>
      <w:bookmarkEnd w:id="36"/>
      <w:proofErr w:type="gramEnd"/>
      <w:r>
        <w:t xml:space="preserve"> </w:t>
      </w:r>
      <w:bookmarkEnd w:id="37"/>
    </w:p>
    <w:p w14:paraId="607E0634" w14:textId="5CD4BCFD" w:rsidR="00D56463" w:rsidRDefault="00D56463" w:rsidP="00B13462">
      <w:pPr>
        <w:pStyle w:val="NoNumUntitledsubclause1"/>
      </w:pPr>
      <w:bookmarkStart w:id="38" w:name="a310238"/>
      <w:r>
        <w:t xml:space="preserve">Nothing in this agreement shall impose an obligation on </w:t>
      </w:r>
      <w:r w:rsidR="005B6092">
        <w:t xml:space="preserve">either party </w:t>
      </w:r>
      <w:r>
        <w:t>to continue discussions or negotiations in connection with the Purpose.</w:t>
      </w:r>
      <w:bookmarkEnd w:id="38"/>
    </w:p>
    <w:p w14:paraId="607E0635" w14:textId="77777777" w:rsidR="00D56463" w:rsidRDefault="00D56463" w:rsidP="004C2FA6">
      <w:pPr>
        <w:pStyle w:val="TitleClause"/>
      </w:pPr>
      <w:r>
        <w:fldChar w:fldCharType="begin"/>
      </w:r>
      <w:r>
        <w:instrText>TC "11. Ending discussions and duration of confidentiality obligations" \l 1</w:instrText>
      </w:r>
      <w:r>
        <w:fldChar w:fldCharType="end"/>
      </w:r>
      <w:bookmarkStart w:id="39" w:name="_Toc256000010"/>
      <w:bookmarkStart w:id="40" w:name="a600894"/>
      <w:r>
        <w:t>Ending discussions and duration of confidentiality obligations</w:t>
      </w:r>
      <w:bookmarkEnd w:id="39"/>
      <w:bookmarkEnd w:id="40"/>
    </w:p>
    <w:p w14:paraId="607E0636" w14:textId="71B4693D" w:rsidR="00D56463" w:rsidRDefault="00D56463" w:rsidP="004C2FA6">
      <w:pPr>
        <w:pStyle w:val="Untitledsubclause1"/>
      </w:pPr>
      <w:bookmarkStart w:id="41" w:name="a598937"/>
      <w:r>
        <w:t xml:space="preserve">If </w:t>
      </w:r>
      <w:r w:rsidR="00CC340A">
        <w:t>Enquirer</w:t>
      </w:r>
      <w:r>
        <w:t xml:space="preserve"> decides not to continue to be involved in the Purpose with </w:t>
      </w:r>
      <w:r w:rsidR="00CC340A">
        <w:t>Crypto Assist</w:t>
      </w:r>
      <w:r>
        <w:t xml:space="preserve">, it shall notify </w:t>
      </w:r>
      <w:r w:rsidR="00CC340A">
        <w:t>Crypto Assist</w:t>
      </w:r>
      <w:r>
        <w:t xml:space="preserve"> in writing immediately. </w:t>
      </w:r>
      <w:bookmarkEnd w:id="41"/>
    </w:p>
    <w:p w14:paraId="607E0637" w14:textId="617CAD67" w:rsidR="00D56463" w:rsidRDefault="00D56463" w:rsidP="004C2FA6">
      <w:pPr>
        <w:pStyle w:val="Untitledsubclause1"/>
      </w:pPr>
      <w:bookmarkStart w:id="42" w:name="a820176"/>
      <w:r>
        <w:t xml:space="preserve">Notwithstanding the end of discussions between the parties in relation to the Purpose pursuant to </w:t>
      </w:r>
      <w:r>
        <w:fldChar w:fldCharType="begin"/>
      </w:r>
      <w:r>
        <w:instrText>PAGEREF a598937\# "'clause '"  \h</w:instrText>
      </w:r>
      <w:r>
        <w:fldChar w:fldCharType="separate"/>
      </w:r>
      <w:r>
        <w:t xml:space="preserve">clause </w:t>
      </w:r>
      <w:r>
        <w:fldChar w:fldCharType="end"/>
      </w:r>
      <w:r>
        <w:fldChar w:fldCharType="begin"/>
      </w:r>
      <w:r>
        <w:rPr>
          <w:highlight w:val="lightGray"/>
        </w:rPr>
        <w:instrText>REF a598937 \h \w</w:instrText>
      </w:r>
      <w:r>
        <w:fldChar w:fldCharType="separate"/>
      </w:r>
      <w:r w:rsidR="00B13462">
        <w:rPr>
          <w:highlight w:val="lightGray"/>
        </w:rPr>
        <w:t>7.1</w:t>
      </w:r>
      <w:r>
        <w:fldChar w:fldCharType="end"/>
      </w:r>
      <w:r>
        <w:t xml:space="preserve">, each party's obligations under this agreement shall continue in full force and effect for a period of </w:t>
      </w:r>
      <w:r w:rsidR="00B13462">
        <w:t>2 years</w:t>
      </w:r>
      <w:r>
        <w:t xml:space="preserve"> from the date of this agreement.</w:t>
      </w:r>
      <w:bookmarkEnd w:id="42"/>
    </w:p>
    <w:p w14:paraId="607E0639" w14:textId="77777777" w:rsidR="00D56463" w:rsidRDefault="00D56463" w:rsidP="004C2FA6">
      <w:pPr>
        <w:pStyle w:val="TitleClause"/>
      </w:pPr>
      <w:r>
        <w:fldChar w:fldCharType="begin"/>
      </w:r>
      <w:r>
        <w:instrText>TC "12. No partnership or agency" \l 1</w:instrText>
      </w:r>
      <w:r>
        <w:fldChar w:fldCharType="end"/>
      </w:r>
      <w:bookmarkStart w:id="43" w:name="_Toc256000011"/>
      <w:bookmarkStart w:id="44" w:name="a602288"/>
      <w:r>
        <w:t>No partnership or agency</w:t>
      </w:r>
      <w:bookmarkEnd w:id="43"/>
      <w:bookmarkEnd w:id="44"/>
    </w:p>
    <w:p w14:paraId="607E063A" w14:textId="77777777" w:rsidR="00D56463" w:rsidRDefault="00D56463" w:rsidP="004C2FA6">
      <w:pPr>
        <w:pStyle w:val="Untitledsubclause1"/>
      </w:pPr>
      <w:bookmarkStart w:id="45" w:name="a309383"/>
      <w:r>
        <w:t xml:space="preserve">Nothing in this agreement is intended to, or shall be deemed to, establish any partnership or joint venture between the parties, constitute any party the agent of another party, or authorise any party to make or </w:t>
      </w:r>
      <w:proofErr w:type="gramStart"/>
      <w:r>
        <w:t>enter into</w:t>
      </w:r>
      <w:proofErr w:type="gramEnd"/>
      <w:r>
        <w:t xml:space="preserve"> any commitments for or on behalf of any other party.</w:t>
      </w:r>
      <w:bookmarkEnd w:id="45"/>
    </w:p>
    <w:p w14:paraId="607E0650" w14:textId="61B80EF6" w:rsidR="00D56463" w:rsidRPr="007A6B16" w:rsidRDefault="00D56463" w:rsidP="004C2FA6">
      <w:pPr>
        <w:pStyle w:val="Untitledsubclause1"/>
        <w:rPr>
          <w:b/>
        </w:rPr>
      </w:pPr>
      <w:bookmarkStart w:id="46" w:name="a829411"/>
      <w:r>
        <w:rPr>
          <w:b/>
        </w:rPr>
        <w:t>Third party rights</w:t>
      </w:r>
      <w:bookmarkEnd w:id="46"/>
      <w:r w:rsidR="00822961">
        <w:rPr>
          <w:b/>
        </w:rPr>
        <w:t>.</w:t>
      </w:r>
    </w:p>
    <w:p w14:paraId="607E0651" w14:textId="3104A535" w:rsidR="00D56463" w:rsidRDefault="00D56463" w:rsidP="00822961">
      <w:pPr>
        <w:pStyle w:val="Untitledsubclause2"/>
        <w:numPr>
          <w:ilvl w:val="0"/>
          <w:numId w:val="0"/>
        </w:numPr>
        <w:ind w:left="709"/>
      </w:pPr>
      <w:bookmarkStart w:id="47" w:name="a404685"/>
      <w:r>
        <w:t>Unless it expressly states otherwise, this agreement does not give rise to any rights under the Contracts (Rights of Third Parties) Act 1999 to enforce any term of this agreement.</w:t>
      </w:r>
      <w:bookmarkEnd w:id="47"/>
    </w:p>
    <w:p w14:paraId="607E0653" w14:textId="77777777" w:rsidR="00D56463" w:rsidRDefault="00D56463" w:rsidP="004C2FA6">
      <w:pPr>
        <w:pStyle w:val="Untitledsubclause1"/>
        <w:rPr>
          <w:b/>
        </w:rPr>
      </w:pPr>
      <w:bookmarkStart w:id="48" w:name="a179673"/>
      <w:r>
        <w:rPr>
          <w:b/>
        </w:rPr>
        <w:t>Governing law.</w:t>
      </w:r>
      <w:r>
        <w:t xml:space="preserve"> This agreement and any dispute or claim (including non-contractual disputes or claims) arising out of or in connection with it or its subject matter or formation shall be governed by and construed in accordance with the law of England and Wales.</w:t>
      </w:r>
      <w:bookmarkEnd w:id="48"/>
    </w:p>
    <w:p w14:paraId="607E0654" w14:textId="77777777" w:rsidR="00D56463" w:rsidRDefault="00D56463" w:rsidP="004C2FA6">
      <w:pPr>
        <w:pStyle w:val="Untitledsubclause1"/>
        <w:rPr>
          <w:b/>
        </w:rPr>
      </w:pPr>
      <w:bookmarkStart w:id="49" w:name="a707938"/>
      <w:r>
        <w:rPr>
          <w:b/>
        </w:rPr>
        <w:lastRenderedPageBreak/>
        <w:t>Jurisdiction.</w:t>
      </w:r>
      <w:r>
        <w:t xml:space="preserve"> 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49"/>
    </w:p>
    <w:p w14:paraId="607E0655" w14:textId="77777777" w:rsidR="00D56463" w:rsidRDefault="00D56463" w:rsidP="004C2FA6">
      <w:pPr>
        <w:pStyle w:val="Testimonium"/>
      </w:pPr>
      <w:r>
        <w:t>This agreement has been entered into on the date stated at the beginning of it.</w:t>
      </w:r>
    </w:p>
    <w:p w14:paraId="607E0656" w14:textId="6D22E255" w:rsidR="004A3082" w:rsidRDefault="004A3082"/>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3192"/>
        <w:gridCol w:w="3193"/>
        <w:gridCol w:w="3191"/>
      </w:tblGrid>
      <w:tr w:rsidR="004A3082" w14:paraId="607E065B" w14:textId="77777777" w:rsidTr="003E4D4B">
        <w:tc>
          <w:tcPr>
            <w:tcW w:w="1667" w:type="pct"/>
            <w:tcBorders>
              <w:top w:val="nil"/>
              <w:left w:val="nil"/>
              <w:bottom w:val="nil"/>
              <w:right w:val="nil"/>
            </w:tcBorders>
            <w:shd w:val="clear" w:color="DDD9C3" w:fill="EEECE1"/>
          </w:tcPr>
          <w:p w14:paraId="4B997205" w14:textId="6221DF5B" w:rsidR="00851DB6" w:rsidRDefault="00D56463" w:rsidP="00DD42B2">
            <w:pPr>
              <w:pStyle w:val="Paragraph"/>
              <w:spacing w:after="0" w:line="240" w:lineRule="auto"/>
              <w:jc w:val="left"/>
            </w:pPr>
            <w:r>
              <w:t xml:space="preserve">Signed by </w:t>
            </w:r>
            <w:r w:rsidR="00822961">
              <w:t>_________</w:t>
            </w:r>
            <w:r w:rsidR="00851DB6">
              <w:t>_____</w:t>
            </w:r>
            <w:r>
              <w:t xml:space="preserve"> </w:t>
            </w:r>
          </w:p>
          <w:p w14:paraId="607E0657" w14:textId="63F86722" w:rsidR="00D56463" w:rsidRDefault="00D56463" w:rsidP="00DD42B2">
            <w:pPr>
              <w:pStyle w:val="Paragraph"/>
              <w:spacing w:after="0" w:line="240" w:lineRule="auto"/>
              <w:jc w:val="left"/>
            </w:pPr>
            <w:r>
              <w:t xml:space="preserve">for and on behalf of </w:t>
            </w:r>
            <w:r w:rsidR="003175DE">
              <w:t>_____________</w:t>
            </w:r>
          </w:p>
        </w:tc>
        <w:tc>
          <w:tcPr>
            <w:tcW w:w="1667" w:type="pct"/>
            <w:tcBorders>
              <w:top w:val="nil"/>
              <w:left w:val="nil"/>
              <w:bottom w:val="nil"/>
              <w:right w:val="nil"/>
            </w:tcBorders>
            <w:shd w:val="clear" w:color="DDD9C3" w:fill="EEECE1"/>
          </w:tcPr>
          <w:p w14:paraId="607E0658" w14:textId="77777777" w:rsidR="004A3082" w:rsidRDefault="004A3082"/>
        </w:tc>
        <w:tc>
          <w:tcPr>
            <w:tcW w:w="1666" w:type="pct"/>
            <w:tcBorders>
              <w:top w:val="nil"/>
              <w:left w:val="nil"/>
              <w:bottom w:val="nil"/>
              <w:right w:val="nil"/>
            </w:tcBorders>
            <w:shd w:val="clear" w:color="DDD9C3" w:fill="EEECE1"/>
          </w:tcPr>
          <w:p w14:paraId="607E0659" w14:textId="77777777" w:rsidR="00D56463" w:rsidRDefault="00D56463" w:rsidP="003E4D4B">
            <w:pPr>
              <w:pStyle w:val="Paragraph"/>
              <w:jc w:val="left"/>
            </w:pPr>
            <w:r>
              <w:t>....................</w:t>
            </w:r>
          </w:p>
          <w:p w14:paraId="607E065A" w14:textId="0047FD8F" w:rsidR="00D56463" w:rsidRPr="00DD42B2" w:rsidRDefault="003175DE" w:rsidP="003E4D4B">
            <w:pPr>
              <w:pStyle w:val="Paragraph"/>
              <w:jc w:val="left"/>
              <w:rPr>
                <w:i/>
                <w:iCs/>
                <w:sz w:val="18"/>
                <w:szCs w:val="18"/>
              </w:rPr>
            </w:pPr>
            <w:r w:rsidRPr="00DD42B2">
              <w:rPr>
                <w:i/>
                <w:iCs/>
                <w:sz w:val="18"/>
                <w:szCs w:val="18"/>
              </w:rPr>
              <w:t>Enquirer</w:t>
            </w:r>
          </w:p>
        </w:tc>
      </w:tr>
      <w:tr w:rsidR="004A3082" w14:paraId="607E0660" w14:textId="77777777" w:rsidTr="003E4D4B">
        <w:tc>
          <w:tcPr>
            <w:tcW w:w="1667" w:type="pct"/>
            <w:tcBorders>
              <w:top w:val="nil"/>
              <w:left w:val="nil"/>
              <w:bottom w:val="nil"/>
              <w:right w:val="nil"/>
            </w:tcBorders>
            <w:shd w:val="clear" w:color="DDD9C3" w:fill="EEECE1"/>
          </w:tcPr>
          <w:p w14:paraId="5E771A05" w14:textId="77777777" w:rsidR="00DD42B2" w:rsidRDefault="00DD42B2" w:rsidP="003E4D4B">
            <w:pPr>
              <w:pStyle w:val="Paragraph"/>
              <w:jc w:val="left"/>
            </w:pPr>
          </w:p>
          <w:p w14:paraId="607E065C" w14:textId="64350A45" w:rsidR="00D56463" w:rsidRDefault="00D56463" w:rsidP="003E4D4B">
            <w:pPr>
              <w:pStyle w:val="Paragraph"/>
              <w:jc w:val="left"/>
            </w:pPr>
            <w:r>
              <w:t xml:space="preserve">Signed by </w:t>
            </w:r>
            <w:r w:rsidR="00851DB6">
              <w:t>_____________</w:t>
            </w:r>
            <w:proofErr w:type="gramStart"/>
            <w:r w:rsidR="00851DB6">
              <w:t>_</w:t>
            </w:r>
            <w:r>
              <w:t xml:space="preserve"> ,</w:t>
            </w:r>
            <w:proofErr w:type="gramEnd"/>
            <w:r>
              <w:t xml:space="preserve"> a director, for and on behalf of </w:t>
            </w:r>
            <w:r w:rsidR="00A95100">
              <w:t>________</w:t>
            </w:r>
          </w:p>
        </w:tc>
        <w:tc>
          <w:tcPr>
            <w:tcW w:w="1667" w:type="pct"/>
            <w:tcBorders>
              <w:top w:val="nil"/>
              <w:left w:val="nil"/>
              <w:bottom w:val="nil"/>
              <w:right w:val="nil"/>
            </w:tcBorders>
            <w:shd w:val="clear" w:color="DDD9C3" w:fill="EEECE1"/>
          </w:tcPr>
          <w:p w14:paraId="607E065D" w14:textId="77777777" w:rsidR="004A3082" w:rsidRDefault="004A3082"/>
        </w:tc>
        <w:tc>
          <w:tcPr>
            <w:tcW w:w="1666" w:type="pct"/>
            <w:tcBorders>
              <w:top w:val="nil"/>
              <w:left w:val="nil"/>
              <w:bottom w:val="nil"/>
              <w:right w:val="nil"/>
            </w:tcBorders>
            <w:shd w:val="clear" w:color="DDD9C3" w:fill="EEECE1"/>
          </w:tcPr>
          <w:p w14:paraId="77A3CE1C" w14:textId="77777777" w:rsidR="00DD42B2" w:rsidRDefault="00DD42B2" w:rsidP="003E4D4B">
            <w:pPr>
              <w:pStyle w:val="Paragraph"/>
              <w:jc w:val="left"/>
            </w:pPr>
          </w:p>
          <w:p w14:paraId="607E065E" w14:textId="1A2E273B" w:rsidR="00D56463" w:rsidRDefault="00D56463" w:rsidP="003E4D4B">
            <w:pPr>
              <w:pStyle w:val="Paragraph"/>
              <w:jc w:val="left"/>
            </w:pPr>
            <w:r>
              <w:t>....................</w:t>
            </w:r>
          </w:p>
          <w:p w14:paraId="607E065F" w14:textId="6A93992E" w:rsidR="00D56463" w:rsidRPr="00DD42B2" w:rsidRDefault="00D56463" w:rsidP="003E4D4B">
            <w:pPr>
              <w:pStyle w:val="Paragraph"/>
              <w:jc w:val="left"/>
              <w:rPr>
                <w:i/>
                <w:iCs/>
                <w:sz w:val="18"/>
                <w:szCs w:val="18"/>
              </w:rPr>
            </w:pPr>
            <w:r w:rsidRPr="00DD42B2">
              <w:rPr>
                <w:i/>
                <w:iCs/>
                <w:sz w:val="18"/>
                <w:szCs w:val="18"/>
              </w:rPr>
              <w:t>Director</w:t>
            </w:r>
            <w:r w:rsidR="00A95100">
              <w:rPr>
                <w:i/>
                <w:iCs/>
                <w:sz w:val="18"/>
                <w:szCs w:val="18"/>
              </w:rPr>
              <w:t xml:space="preserve">, </w:t>
            </w:r>
            <w:r w:rsidR="001D3175">
              <w:rPr>
                <w:i/>
                <w:iCs/>
                <w:sz w:val="18"/>
                <w:szCs w:val="18"/>
              </w:rPr>
              <w:t>Crypto-Assist</w:t>
            </w:r>
          </w:p>
        </w:tc>
      </w:tr>
    </w:tbl>
    <w:p w14:paraId="607E0661" w14:textId="77777777" w:rsidR="004A3082" w:rsidRDefault="004A3082"/>
    <w:sectPr w:rsidR="004A3082" w:rsidSect="0041766D">
      <w:headerReference w:type="default" r:id="rId11"/>
      <w:footerReference w:type="default" r:id="rId12"/>
      <w:head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E0667" w14:textId="77777777" w:rsidR="00D56463" w:rsidRDefault="00D56463">
      <w:pPr>
        <w:spacing w:after="0" w:line="240" w:lineRule="auto"/>
      </w:pPr>
      <w:r>
        <w:separator/>
      </w:r>
    </w:p>
  </w:endnote>
  <w:endnote w:type="continuationSeparator" w:id="0">
    <w:p w14:paraId="607E0669" w14:textId="77777777" w:rsidR="00D56463" w:rsidRDefault="00D5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3292677"/>
      <w:docPartObj>
        <w:docPartGallery w:val="Page Numbers (Bottom of Page)"/>
        <w:docPartUnique/>
      </w:docPartObj>
    </w:sdtPr>
    <w:sdtEndPr/>
    <w:sdtContent>
      <w:sdt>
        <w:sdtPr>
          <w:id w:val="-1769616900"/>
          <w:docPartObj>
            <w:docPartGallery w:val="Page Numbers (Top of Page)"/>
            <w:docPartUnique/>
          </w:docPartObj>
        </w:sdtPr>
        <w:sdtEndPr/>
        <w:sdtContent>
          <w:p w14:paraId="693C227A" w14:textId="7A35A689" w:rsidR="00D56463" w:rsidRDefault="00D5646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7E0662" w14:textId="1C5AFA2C" w:rsidR="004A3082" w:rsidRDefault="004A308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E0663" w14:textId="77777777" w:rsidR="00D56463" w:rsidRDefault="00D56463">
      <w:pPr>
        <w:spacing w:after="0" w:line="240" w:lineRule="auto"/>
      </w:pPr>
      <w:r>
        <w:separator/>
      </w:r>
    </w:p>
  </w:footnote>
  <w:footnote w:type="continuationSeparator" w:id="0">
    <w:p w14:paraId="607E0665" w14:textId="77777777" w:rsidR="00D56463" w:rsidRDefault="00D56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D1AC4" w14:textId="635A663B" w:rsidR="0041766D" w:rsidRDefault="0041766D" w:rsidP="0041766D">
    <w:pPr>
      <w:pStyle w:val="Header"/>
      <w:jc w:val="center"/>
    </w:pPr>
  </w:p>
  <w:p w14:paraId="06765125" w14:textId="77777777" w:rsidR="0041766D" w:rsidRDefault="00417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B1950" w14:textId="1E10CF76" w:rsidR="0041766D" w:rsidRDefault="0041766D" w:rsidP="0041766D">
    <w:pPr>
      <w:pStyle w:val="Header"/>
      <w:jc w:val="center"/>
    </w:pPr>
    <w:r w:rsidRPr="0041766D">
      <w:rPr>
        <w:noProof/>
      </w:rPr>
      <w:drawing>
        <wp:inline distT="0" distB="0" distL="0" distR="0" wp14:anchorId="05F3962C" wp14:editId="6CD4C137">
          <wp:extent cx="1631950" cy="1104885"/>
          <wp:effectExtent l="0" t="0" r="6350" b="635"/>
          <wp:docPr id="19159633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6336" name="Picture 1" descr="A close-up of a logo&#10;&#10;Description automatically generated"/>
                  <pic:cNvPicPr/>
                </pic:nvPicPr>
                <pic:blipFill>
                  <a:blip r:embed="rId1"/>
                  <a:stretch>
                    <a:fillRect/>
                  </a:stretch>
                </pic:blipFill>
                <pic:spPr>
                  <a:xfrm>
                    <a:off x="0" y="0"/>
                    <a:ext cx="1638504" cy="1109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2EB6411A">
      <w:start w:val="1"/>
      <w:numFmt w:val="bullet"/>
      <w:pStyle w:val="DefinedTermBullet"/>
      <w:lvlText w:val=""/>
      <w:lvlJc w:val="left"/>
      <w:pPr>
        <w:ind w:left="1440" w:hanging="360"/>
      </w:pPr>
      <w:rPr>
        <w:rFonts w:ascii="Symbol" w:hAnsi="Symbol" w:hint="default"/>
        <w:color w:val="000000"/>
      </w:rPr>
    </w:lvl>
    <w:lvl w:ilvl="1" w:tplc="D65C20F4" w:tentative="1">
      <w:start w:val="1"/>
      <w:numFmt w:val="bullet"/>
      <w:lvlText w:val="o"/>
      <w:lvlJc w:val="left"/>
      <w:pPr>
        <w:ind w:left="2160" w:hanging="360"/>
      </w:pPr>
      <w:rPr>
        <w:rFonts w:ascii="Courier New" w:hAnsi="Courier New" w:cs="Courier New" w:hint="default"/>
      </w:rPr>
    </w:lvl>
    <w:lvl w:ilvl="2" w:tplc="8B68A4BA" w:tentative="1">
      <w:start w:val="1"/>
      <w:numFmt w:val="bullet"/>
      <w:lvlText w:val=""/>
      <w:lvlJc w:val="left"/>
      <w:pPr>
        <w:ind w:left="2880" w:hanging="360"/>
      </w:pPr>
      <w:rPr>
        <w:rFonts w:ascii="Wingdings" w:hAnsi="Wingdings" w:hint="default"/>
      </w:rPr>
    </w:lvl>
    <w:lvl w:ilvl="3" w:tplc="1C6A7B1C" w:tentative="1">
      <w:start w:val="1"/>
      <w:numFmt w:val="bullet"/>
      <w:lvlText w:val=""/>
      <w:lvlJc w:val="left"/>
      <w:pPr>
        <w:ind w:left="3600" w:hanging="360"/>
      </w:pPr>
      <w:rPr>
        <w:rFonts w:ascii="Symbol" w:hAnsi="Symbol" w:hint="default"/>
      </w:rPr>
    </w:lvl>
    <w:lvl w:ilvl="4" w:tplc="8604C6AE" w:tentative="1">
      <w:start w:val="1"/>
      <w:numFmt w:val="bullet"/>
      <w:lvlText w:val="o"/>
      <w:lvlJc w:val="left"/>
      <w:pPr>
        <w:ind w:left="4320" w:hanging="360"/>
      </w:pPr>
      <w:rPr>
        <w:rFonts w:ascii="Courier New" w:hAnsi="Courier New" w:cs="Courier New" w:hint="default"/>
      </w:rPr>
    </w:lvl>
    <w:lvl w:ilvl="5" w:tplc="A92C7516" w:tentative="1">
      <w:start w:val="1"/>
      <w:numFmt w:val="bullet"/>
      <w:lvlText w:val=""/>
      <w:lvlJc w:val="left"/>
      <w:pPr>
        <w:ind w:left="5040" w:hanging="360"/>
      </w:pPr>
      <w:rPr>
        <w:rFonts w:ascii="Wingdings" w:hAnsi="Wingdings" w:hint="default"/>
      </w:rPr>
    </w:lvl>
    <w:lvl w:ilvl="6" w:tplc="3A821290" w:tentative="1">
      <w:start w:val="1"/>
      <w:numFmt w:val="bullet"/>
      <w:lvlText w:val=""/>
      <w:lvlJc w:val="left"/>
      <w:pPr>
        <w:ind w:left="5760" w:hanging="360"/>
      </w:pPr>
      <w:rPr>
        <w:rFonts w:ascii="Symbol" w:hAnsi="Symbol" w:hint="default"/>
      </w:rPr>
    </w:lvl>
    <w:lvl w:ilvl="7" w:tplc="6EEE045A" w:tentative="1">
      <w:start w:val="1"/>
      <w:numFmt w:val="bullet"/>
      <w:lvlText w:val="o"/>
      <w:lvlJc w:val="left"/>
      <w:pPr>
        <w:ind w:left="6480" w:hanging="360"/>
      </w:pPr>
      <w:rPr>
        <w:rFonts w:ascii="Courier New" w:hAnsi="Courier New" w:cs="Courier New" w:hint="default"/>
      </w:rPr>
    </w:lvl>
    <w:lvl w:ilvl="8" w:tplc="3E2C7308"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4AD8CBEC">
      <w:start w:val="1"/>
      <w:numFmt w:val="lowerLetter"/>
      <w:lvlText w:val="%1)"/>
      <w:lvlJc w:val="left"/>
      <w:pPr>
        <w:ind w:left="1714" w:hanging="360"/>
      </w:pPr>
      <w:rPr>
        <w:color w:val="000000"/>
      </w:rPr>
    </w:lvl>
    <w:lvl w:ilvl="1" w:tplc="C90A03FE" w:tentative="1">
      <w:start w:val="1"/>
      <w:numFmt w:val="lowerLetter"/>
      <w:lvlText w:val="%2."/>
      <w:lvlJc w:val="left"/>
      <w:pPr>
        <w:ind w:left="2434" w:hanging="360"/>
      </w:pPr>
    </w:lvl>
    <w:lvl w:ilvl="2" w:tplc="99443D96" w:tentative="1">
      <w:start w:val="1"/>
      <w:numFmt w:val="lowerRoman"/>
      <w:lvlText w:val="%3."/>
      <w:lvlJc w:val="right"/>
      <w:pPr>
        <w:ind w:left="3154" w:hanging="180"/>
      </w:pPr>
    </w:lvl>
    <w:lvl w:ilvl="3" w:tplc="0218CEB4" w:tentative="1">
      <w:start w:val="1"/>
      <w:numFmt w:val="decimal"/>
      <w:lvlText w:val="%4."/>
      <w:lvlJc w:val="left"/>
      <w:pPr>
        <w:ind w:left="3874" w:hanging="360"/>
      </w:pPr>
    </w:lvl>
    <w:lvl w:ilvl="4" w:tplc="8A489338" w:tentative="1">
      <w:start w:val="1"/>
      <w:numFmt w:val="lowerLetter"/>
      <w:lvlText w:val="%5."/>
      <w:lvlJc w:val="left"/>
      <w:pPr>
        <w:ind w:left="4594" w:hanging="360"/>
      </w:pPr>
    </w:lvl>
    <w:lvl w:ilvl="5" w:tplc="6ADCDC26" w:tentative="1">
      <w:start w:val="1"/>
      <w:numFmt w:val="lowerRoman"/>
      <w:lvlText w:val="%6."/>
      <w:lvlJc w:val="right"/>
      <w:pPr>
        <w:ind w:left="5314" w:hanging="180"/>
      </w:pPr>
    </w:lvl>
    <w:lvl w:ilvl="6" w:tplc="18364B20" w:tentative="1">
      <w:start w:val="1"/>
      <w:numFmt w:val="decimal"/>
      <w:lvlText w:val="%7."/>
      <w:lvlJc w:val="left"/>
      <w:pPr>
        <w:ind w:left="6034" w:hanging="360"/>
      </w:pPr>
    </w:lvl>
    <w:lvl w:ilvl="7" w:tplc="6AE0903A" w:tentative="1">
      <w:start w:val="1"/>
      <w:numFmt w:val="lowerLetter"/>
      <w:lvlText w:val="%8."/>
      <w:lvlJc w:val="left"/>
      <w:pPr>
        <w:ind w:left="6754" w:hanging="360"/>
      </w:pPr>
    </w:lvl>
    <w:lvl w:ilvl="8" w:tplc="7C54342E"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F0CC77C2">
      <w:start w:val="1"/>
      <w:numFmt w:val="decimal"/>
      <w:lvlText w:val="Schedule %1"/>
      <w:lvlJc w:val="left"/>
      <w:pPr>
        <w:ind w:left="720" w:hanging="360"/>
      </w:pPr>
      <w:rPr>
        <w:rFonts w:hint="default"/>
        <w:color w:val="000000"/>
      </w:rPr>
    </w:lvl>
    <w:lvl w:ilvl="1" w:tplc="CE40E350" w:tentative="1">
      <w:start w:val="1"/>
      <w:numFmt w:val="lowerLetter"/>
      <w:lvlText w:val="%2."/>
      <w:lvlJc w:val="left"/>
      <w:pPr>
        <w:ind w:left="1440" w:hanging="360"/>
      </w:pPr>
    </w:lvl>
    <w:lvl w:ilvl="2" w:tplc="FF5E69CC" w:tentative="1">
      <w:start w:val="1"/>
      <w:numFmt w:val="lowerRoman"/>
      <w:lvlText w:val="%3."/>
      <w:lvlJc w:val="right"/>
      <w:pPr>
        <w:ind w:left="2160" w:hanging="180"/>
      </w:pPr>
    </w:lvl>
    <w:lvl w:ilvl="3" w:tplc="325E90B4" w:tentative="1">
      <w:start w:val="1"/>
      <w:numFmt w:val="decimal"/>
      <w:lvlText w:val="%4."/>
      <w:lvlJc w:val="left"/>
      <w:pPr>
        <w:ind w:left="2880" w:hanging="360"/>
      </w:pPr>
    </w:lvl>
    <w:lvl w:ilvl="4" w:tplc="DFEE5E2C" w:tentative="1">
      <w:start w:val="1"/>
      <w:numFmt w:val="lowerLetter"/>
      <w:lvlText w:val="%5."/>
      <w:lvlJc w:val="left"/>
      <w:pPr>
        <w:ind w:left="3600" w:hanging="360"/>
      </w:pPr>
    </w:lvl>
    <w:lvl w:ilvl="5" w:tplc="275EB5B8" w:tentative="1">
      <w:start w:val="1"/>
      <w:numFmt w:val="lowerRoman"/>
      <w:lvlText w:val="%6."/>
      <w:lvlJc w:val="right"/>
      <w:pPr>
        <w:ind w:left="4320" w:hanging="180"/>
      </w:pPr>
    </w:lvl>
    <w:lvl w:ilvl="6" w:tplc="C55837BE" w:tentative="1">
      <w:start w:val="1"/>
      <w:numFmt w:val="decimal"/>
      <w:lvlText w:val="%7."/>
      <w:lvlJc w:val="left"/>
      <w:pPr>
        <w:ind w:left="5040" w:hanging="360"/>
      </w:pPr>
    </w:lvl>
    <w:lvl w:ilvl="7" w:tplc="038C564E" w:tentative="1">
      <w:start w:val="1"/>
      <w:numFmt w:val="lowerLetter"/>
      <w:lvlText w:val="%8."/>
      <w:lvlJc w:val="left"/>
      <w:pPr>
        <w:ind w:left="5760" w:hanging="360"/>
      </w:pPr>
    </w:lvl>
    <w:lvl w:ilvl="8" w:tplc="74D0D28E"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E494C018">
      <w:start w:val="1"/>
      <w:numFmt w:val="decimal"/>
      <w:pStyle w:val="ScheduleHeading-Single"/>
      <w:lvlText w:val="Schedule"/>
      <w:lvlJc w:val="left"/>
      <w:pPr>
        <w:tabs>
          <w:tab w:val="num" w:pos="720"/>
        </w:tabs>
        <w:ind w:left="720" w:hanging="720"/>
      </w:pPr>
      <w:rPr>
        <w:color w:val="000000"/>
      </w:rPr>
    </w:lvl>
    <w:lvl w:ilvl="1" w:tplc="D41A6C3A" w:tentative="1">
      <w:start w:val="1"/>
      <w:numFmt w:val="lowerLetter"/>
      <w:lvlText w:val="%2."/>
      <w:lvlJc w:val="left"/>
      <w:pPr>
        <w:tabs>
          <w:tab w:val="num" w:pos="1440"/>
        </w:tabs>
        <w:ind w:left="1440" w:hanging="360"/>
      </w:pPr>
    </w:lvl>
    <w:lvl w:ilvl="2" w:tplc="5D948F0E" w:tentative="1">
      <w:start w:val="1"/>
      <w:numFmt w:val="lowerRoman"/>
      <w:lvlText w:val="%3."/>
      <w:lvlJc w:val="right"/>
      <w:pPr>
        <w:tabs>
          <w:tab w:val="num" w:pos="2160"/>
        </w:tabs>
        <w:ind w:left="2160" w:hanging="180"/>
      </w:pPr>
    </w:lvl>
    <w:lvl w:ilvl="3" w:tplc="7138D70E" w:tentative="1">
      <w:start w:val="1"/>
      <w:numFmt w:val="decimal"/>
      <w:lvlText w:val="%4."/>
      <w:lvlJc w:val="left"/>
      <w:pPr>
        <w:tabs>
          <w:tab w:val="num" w:pos="2880"/>
        </w:tabs>
        <w:ind w:left="2880" w:hanging="360"/>
      </w:pPr>
    </w:lvl>
    <w:lvl w:ilvl="4" w:tplc="E116CCD4" w:tentative="1">
      <w:start w:val="1"/>
      <w:numFmt w:val="lowerLetter"/>
      <w:lvlText w:val="%5."/>
      <w:lvlJc w:val="left"/>
      <w:pPr>
        <w:tabs>
          <w:tab w:val="num" w:pos="3600"/>
        </w:tabs>
        <w:ind w:left="3600" w:hanging="360"/>
      </w:pPr>
    </w:lvl>
    <w:lvl w:ilvl="5" w:tplc="9D846D4A" w:tentative="1">
      <w:start w:val="1"/>
      <w:numFmt w:val="lowerRoman"/>
      <w:lvlText w:val="%6."/>
      <w:lvlJc w:val="right"/>
      <w:pPr>
        <w:tabs>
          <w:tab w:val="num" w:pos="4320"/>
        </w:tabs>
        <w:ind w:left="4320" w:hanging="180"/>
      </w:pPr>
    </w:lvl>
    <w:lvl w:ilvl="6" w:tplc="4712FAEA" w:tentative="1">
      <w:start w:val="1"/>
      <w:numFmt w:val="decimal"/>
      <w:lvlText w:val="%7."/>
      <w:lvlJc w:val="left"/>
      <w:pPr>
        <w:tabs>
          <w:tab w:val="num" w:pos="5040"/>
        </w:tabs>
        <w:ind w:left="5040" w:hanging="360"/>
      </w:pPr>
    </w:lvl>
    <w:lvl w:ilvl="7" w:tplc="6ADC07C0" w:tentative="1">
      <w:start w:val="1"/>
      <w:numFmt w:val="lowerLetter"/>
      <w:lvlText w:val="%8."/>
      <w:lvlJc w:val="left"/>
      <w:pPr>
        <w:tabs>
          <w:tab w:val="num" w:pos="5760"/>
        </w:tabs>
        <w:ind w:left="5760" w:hanging="360"/>
      </w:pPr>
    </w:lvl>
    <w:lvl w:ilvl="8" w:tplc="B2EE0AAA" w:tentative="1">
      <w:start w:val="1"/>
      <w:numFmt w:val="lowerRoman"/>
      <w:lvlText w:val="%9."/>
      <w:lvlJc w:val="right"/>
      <w:pPr>
        <w:tabs>
          <w:tab w:val="num" w:pos="6480"/>
        </w:tabs>
        <w:ind w:left="6480" w:hanging="180"/>
      </w:pPr>
    </w:lvl>
  </w:abstractNum>
  <w:abstractNum w:abstractNumId="17"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15:restartNumberingAfterBreak="0">
    <w:nsid w:val="23F230AE"/>
    <w:multiLevelType w:val="hybridMultilevel"/>
    <w:tmpl w:val="DC3EE75A"/>
    <w:lvl w:ilvl="0" w:tplc="1E9A58AC">
      <w:start w:val="1"/>
      <w:numFmt w:val="decimal"/>
      <w:lvlText w:val="Part %1"/>
      <w:lvlJc w:val="left"/>
      <w:pPr>
        <w:ind w:left="720" w:hanging="360"/>
      </w:pPr>
      <w:rPr>
        <w:rFonts w:hint="default"/>
        <w:b/>
        <w:i w:val="0"/>
        <w:color w:val="000000"/>
      </w:rPr>
    </w:lvl>
    <w:lvl w:ilvl="1" w:tplc="53426242" w:tentative="1">
      <w:start w:val="1"/>
      <w:numFmt w:val="lowerLetter"/>
      <w:lvlText w:val="%2."/>
      <w:lvlJc w:val="left"/>
      <w:pPr>
        <w:ind w:left="1440" w:hanging="360"/>
      </w:pPr>
    </w:lvl>
    <w:lvl w:ilvl="2" w:tplc="DAD491EA" w:tentative="1">
      <w:start w:val="1"/>
      <w:numFmt w:val="lowerRoman"/>
      <w:lvlText w:val="%3."/>
      <w:lvlJc w:val="right"/>
      <w:pPr>
        <w:ind w:left="2160" w:hanging="180"/>
      </w:pPr>
    </w:lvl>
    <w:lvl w:ilvl="3" w:tplc="602AAF4E" w:tentative="1">
      <w:start w:val="1"/>
      <w:numFmt w:val="decimal"/>
      <w:lvlText w:val="%4."/>
      <w:lvlJc w:val="left"/>
      <w:pPr>
        <w:ind w:left="2880" w:hanging="360"/>
      </w:pPr>
    </w:lvl>
    <w:lvl w:ilvl="4" w:tplc="CF36F7DA" w:tentative="1">
      <w:start w:val="1"/>
      <w:numFmt w:val="lowerLetter"/>
      <w:lvlText w:val="%5."/>
      <w:lvlJc w:val="left"/>
      <w:pPr>
        <w:ind w:left="3600" w:hanging="360"/>
      </w:pPr>
    </w:lvl>
    <w:lvl w:ilvl="5" w:tplc="0DDCF8B6" w:tentative="1">
      <w:start w:val="1"/>
      <w:numFmt w:val="lowerRoman"/>
      <w:lvlText w:val="%6."/>
      <w:lvlJc w:val="right"/>
      <w:pPr>
        <w:ind w:left="4320" w:hanging="180"/>
      </w:pPr>
    </w:lvl>
    <w:lvl w:ilvl="6" w:tplc="EC3A14AE" w:tentative="1">
      <w:start w:val="1"/>
      <w:numFmt w:val="decimal"/>
      <w:lvlText w:val="%7."/>
      <w:lvlJc w:val="left"/>
      <w:pPr>
        <w:ind w:left="5040" w:hanging="360"/>
      </w:pPr>
    </w:lvl>
    <w:lvl w:ilvl="7" w:tplc="CE589562" w:tentative="1">
      <w:start w:val="1"/>
      <w:numFmt w:val="lowerLetter"/>
      <w:lvlText w:val="%8."/>
      <w:lvlJc w:val="left"/>
      <w:pPr>
        <w:ind w:left="5760" w:hanging="360"/>
      </w:pPr>
    </w:lvl>
    <w:lvl w:ilvl="8" w:tplc="4D2E3FD8"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95F8C380">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ACACEF42" w:tentative="1">
      <w:start w:val="1"/>
      <w:numFmt w:val="lowerLetter"/>
      <w:lvlText w:val="%2."/>
      <w:lvlJc w:val="left"/>
      <w:pPr>
        <w:ind w:left="1440" w:hanging="360"/>
      </w:pPr>
    </w:lvl>
    <w:lvl w:ilvl="2" w:tplc="4C0E069C" w:tentative="1">
      <w:start w:val="1"/>
      <w:numFmt w:val="lowerRoman"/>
      <w:lvlText w:val="%3."/>
      <w:lvlJc w:val="right"/>
      <w:pPr>
        <w:ind w:left="2160" w:hanging="180"/>
      </w:pPr>
    </w:lvl>
    <w:lvl w:ilvl="3" w:tplc="E6FA8F4A" w:tentative="1">
      <w:start w:val="1"/>
      <w:numFmt w:val="decimal"/>
      <w:lvlText w:val="%4."/>
      <w:lvlJc w:val="left"/>
      <w:pPr>
        <w:ind w:left="2880" w:hanging="360"/>
      </w:pPr>
    </w:lvl>
    <w:lvl w:ilvl="4" w:tplc="ADDEC38C" w:tentative="1">
      <w:start w:val="1"/>
      <w:numFmt w:val="lowerLetter"/>
      <w:lvlText w:val="%5."/>
      <w:lvlJc w:val="left"/>
      <w:pPr>
        <w:ind w:left="3600" w:hanging="360"/>
      </w:pPr>
    </w:lvl>
    <w:lvl w:ilvl="5" w:tplc="790420BC" w:tentative="1">
      <w:start w:val="1"/>
      <w:numFmt w:val="lowerRoman"/>
      <w:lvlText w:val="%6."/>
      <w:lvlJc w:val="right"/>
      <w:pPr>
        <w:ind w:left="4320" w:hanging="180"/>
      </w:pPr>
    </w:lvl>
    <w:lvl w:ilvl="6" w:tplc="48486D12" w:tentative="1">
      <w:start w:val="1"/>
      <w:numFmt w:val="decimal"/>
      <w:lvlText w:val="%7."/>
      <w:lvlJc w:val="left"/>
      <w:pPr>
        <w:ind w:left="5040" w:hanging="360"/>
      </w:pPr>
    </w:lvl>
    <w:lvl w:ilvl="7" w:tplc="D12CFEBE" w:tentative="1">
      <w:start w:val="1"/>
      <w:numFmt w:val="lowerLetter"/>
      <w:lvlText w:val="%8."/>
      <w:lvlJc w:val="left"/>
      <w:pPr>
        <w:ind w:left="5760" w:hanging="360"/>
      </w:pPr>
    </w:lvl>
    <w:lvl w:ilvl="8" w:tplc="51D6F0E4" w:tentative="1">
      <w:start w:val="1"/>
      <w:numFmt w:val="lowerRoman"/>
      <w:lvlText w:val="%9."/>
      <w:lvlJc w:val="right"/>
      <w:pPr>
        <w:ind w:left="6480" w:hanging="180"/>
      </w:pPr>
    </w:lvl>
  </w:abstractNum>
  <w:abstractNum w:abstractNumId="20" w15:restartNumberingAfterBreak="0">
    <w:nsid w:val="26D1550C"/>
    <w:multiLevelType w:val="multilevel"/>
    <w:tmpl w:val="5BD440D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C94F29"/>
    <w:multiLevelType w:val="hybridMultilevel"/>
    <w:tmpl w:val="4CBC2A34"/>
    <w:lvl w:ilvl="0" w:tplc="74928DB4">
      <w:start w:val="1"/>
      <w:numFmt w:val="decimal"/>
      <w:pStyle w:val="QuestionParagraph"/>
      <w:lvlText w:val="%1."/>
      <w:lvlJc w:val="left"/>
      <w:pPr>
        <w:ind w:left="720" w:hanging="360"/>
      </w:pPr>
      <w:rPr>
        <w:color w:val="000000"/>
      </w:rPr>
    </w:lvl>
    <w:lvl w:ilvl="1" w:tplc="C8DAD622" w:tentative="1">
      <w:start w:val="1"/>
      <w:numFmt w:val="lowerLetter"/>
      <w:lvlText w:val="%2."/>
      <w:lvlJc w:val="left"/>
      <w:pPr>
        <w:ind w:left="1440" w:hanging="360"/>
      </w:pPr>
    </w:lvl>
    <w:lvl w:ilvl="2" w:tplc="7C5069F0" w:tentative="1">
      <w:start w:val="1"/>
      <w:numFmt w:val="lowerRoman"/>
      <w:lvlText w:val="%3."/>
      <w:lvlJc w:val="right"/>
      <w:pPr>
        <w:ind w:left="2160" w:hanging="180"/>
      </w:pPr>
    </w:lvl>
    <w:lvl w:ilvl="3" w:tplc="8050001E" w:tentative="1">
      <w:start w:val="1"/>
      <w:numFmt w:val="decimal"/>
      <w:lvlText w:val="%4."/>
      <w:lvlJc w:val="left"/>
      <w:pPr>
        <w:ind w:left="2880" w:hanging="360"/>
      </w:pPr>
    </w:lvl>
    <w:lvl w:ilvl="4" w:tplc="FB70C540" w:tentative="1">
      <w:start w:val="1"/>
      <w:numFmt w:val="lowerLetter"/>
      <w:lvlText w:val="%5."/>
      <w:lvlJc w:val="left"/>
      <w:pPr>
        <w:ind w:left="3600" w:hanging="360"/>
      </w:pPr>
    </w:lvl>
    <w:lvl w:ilvl="5" w:tplc="BEC404E4" w:tentative="1">
      <w:start w:val="1"/>
      <w:numFmt w:val="lowerRoman"/>
      <w:lvlText w:val="%6."/>
      <w:lvlJc w:val="right"/>
      <w:pPr>
        <w:ind w:left="4320" w:hanging="180"/>
      </w:pPr>
    </w:lvl>
    <w:lvl w:ilvl="6" w:tplc="E6864D08" w:tentative="1">
      <w:start w:val="1"/>
      <w:numFmt w:val="decimal"/>
      <w:lvlText w:val="%7."/>
      <w:lvlJc w:val="left"/>
      <w:pPr>
        <w:ind w:left="5040" w:hanging="360"/>
      </w:pPr>
    </w:lvl>
    <w:lvl w:ilvl="7" w:tplc="7980B8AA" w:tentative="1">
      <w:start w:val="1"/>
      <w:numFmt w:val="lowerLetter"/>
      <w:lvlText w:val="%8."/>
      <w:lvlJc w:val="left"/>
      <w:pPr>
        <w:ind w:left="5760" w:hanging="360"/>
      </w:pPr>
    </w:lvl>
    <w:lvl w:ilvl="8" w:tplc="CD640C4C" w:tentative="1">
      <w:start w:val="1"/>
      <w:numFmt w:val="lowerRoman"/>
      <w:lvlText w:val="%9."/>
      <w:lvlJc w:val="right"/>
      <w:pPr>
        <w:ind w:left="6480" w:hanging="180"/>
      </w:pPr>
    </w:lvl>
  </w:abstractNum>
  <w:abstractNum w:abstractNumId="22" w15:restartNumberingAfterBreak="0">
    <w:nsid w:val="310416CA"/>
    <w:multiLevelType w:val="hybridMultilevel"/>
    <w:tmpl w:val="072EDEC8"/>
    <w:lvl w:ilvl="0" w:tplc="44E8EFF0">
      <w:start w:val="1"/>
      <w:numFmt w:val="bullet"/>
      <w:pStyle w:val="subclause2Bullet2"/>
      <w:lvlText w:val=""/>
      <w:lvlJc w:val="left"/>
      <w:pPr>
        <w:ind w:left="2279" w:hanging="360"/>
      </w:pPr>
      <w:rPr>
        <w:rFonts w:ascii="Symbol" w:hAnsi="Symbol" w:hint="default"/>
        <w:color w:val="000000"/>
      </w:rPr>
    </w:lvl>
    <w:lvl w:ilvl="1" w:tplc="4DA08316" w:tentative="1">
      <w:start w:val="1"/>
      <w:numFmt w:val="bullet"/>
      <w:lvlText w:val="o"/>
      <w:lvlJc w:val="left"/>
      <w:pPr>
        <w:ind w:left="2999" w:hanging="360"/>
      </w:pPr>
      <w:rPr>
        <w:rFonts w:ascii="Courier New" w:hAnsi="Courier New" w:cs="Courier New" w:hint="default"/>
      </w:rPr>
    </w:lvl>
    <w:lvl w:ilvl="2" w:tplc="763A07E2" w:tentative="1">
      <w:start w:val="1"/>
      <w:numFmt w:val="bullet"/>
      <w:lvlText w:val=""/>
      <w:lvlJc w:val="left"/>
      <w:pPr>
        <w:ind w:left="3719" w:hanging="360"/>
      </w:pPr>
      <w:rPr>
        <w:rFonts w:ascii="Wingdings" w:hAnsi="Wingdings" w:hint="default"/>
      </w:rPr>
    </w:lvl>
    <w:lvl w:ilvl="3" w:tplc="E402B9DC" w:tentative="1">
      <w:start w:val="1"/>
      <w:numFmt w:val="bullet"/>
      <w:lvlText w:val=""/>
      <w:lvlJc w:val="left"/>
      <w:pPr>
        <w:ind w:left="4439" w:hanging="360"/>
      </w:pPr>
      <w:rPr>
        <w:rFonts w:ascii="Symbol" w:hAnsi="Symbol" w:hint="default"/>
      </w:rPr>
    </w:lvl>
    <w:lvl w:ilvl="4" w:tplc="E3140D7A" w:tentative="1">
      <w:start w:val="1"/>
      <w:numFmt w:val="bullet"/>
      <w:lvlText w:val="o"/>
      <w:lvlJc w:val="left"/>
      <w:pPr>
        <w:ind w:left="5159" w:hanging="360"/>
      </w:pPr>
      <w:rPr>
        <w:rFonts w:ascii="Courier New" w:hAnsi="Courier New" w:cs="Courier New" w:hint="default"/>
      </w:rPr>
    </w:lvl>
    <w:lvl w:ilvl="5" w:tplc="5544A374" w:tentative="1">
      <w:start w:val="1"/>
      <w:numFmt w:val="bullet"/>
      <w:lvlText w:val=""/>
      <w:lvlJc w:val="left"/>
      <w:pPr>
        <w:ind w:left="5879" w:hanging="360"/>
      </w:pPr>
      <w:rPr>
        <w:rFonts w:ascii="Wingdings" w:hAnsi="Wingdings" w:hint="default"/>
      </w:rPr>
    </w:lvl>
    <w:lvl w:ilvl="6" w:tplc="08B4546A" w:tentative="1">
      <w:start w:val="1"/>
      <w:numFmt w:val="bullet"/>
      <w:lvlText w:val=""/>
      <w:lvlJc w:val="left"/>
      <w:pPr>
        <w:ind w:left="6599" w:hanging="360"/>
      </w:pPr>
      <w:rPr>
        <w:rFonts w:ascii="Symbol" w:hAnsi="Symbol" w:hint="default"/>
      </w:rPr>
    </w:lvl>
    <w:lvl w:ilvl="7" w:tplc="D9BA74DE" w:tentative="1">
      <w:start w:val="1"/>
      <w:numFmt w:val="bullet"/>
      <w:lvlText w:val="o"/>
      <w:lvlJc w:val="left"/>
      <w:pPr>
        <w:ind w:left="7319" w:hanging="360"/>
      </w:pPr>
      <w:rPr>
        <w:rFonts w:ascii="Courier New" w:hAnsi="Courier New" w:cs="Courier New" w:hint="default"/>
      </w:rPr>
    </w:lvl>
    <w:lvl w:ilvl="8" w:tplc="EEBC3CBC" w:tentative="1">
      <w:start w:val="1"/>
      <w:numFmt w:val="bullet"/>
      <w:lvlText w:val=""/>
      <w:lvlJc w:val="left"/>
      <w:pPr>
        <w:ind w:left="8039" w:hanging="360"/>
      </w:pPr>
      <w:rPr>
        <w:rFonts w:ascii="Wingdings" w:hAnsi="Wingdings" w:hint="default"/>
      </w:rPr>
    </w:lvl>
  </w:abstractNum>
  <w:abstractNum w:abstractNumId="23" w15:restartNumberingAfterBreak="0">
    <w:nsid w:val="31E9741F"/>
    <w:multiLevelType w:val="hybridMultilevel"/>
    <w:tmpl w:val="0CAC7D4E"/>
    <w:lvl w:ilvl="0" w:tplc="0AF231AC">
      <w:start w:val="1"/>
      <w:numFmt w:val="bullet"/>
      <w:pStyle w:val="BulletList2"/>
      <w:lvlText w:val=""/>
      <w:lvlJc w:val="left"/>
      <w:pPr>
        <w:tabs>
          <w:tab w:val="num" w:pos="1077"/>
        </w:tabs>
        <w:ind w:left="1077" w:hanging="357"/>
      </w:pPr>
      <w:rPr>
        <w:rFonts w:ascii="Symbol" w:hAnsi="Symbol" w:hint="default"/>
        <w:color w:val="000000"/>
      </w:rPr>
    </w:lvl>
    <w:lvl w:ilvl="1" w:tplc="10389F5E" w:tentative="1">
      <w:start w:val="1"/>
      <w:numFmt w:val="bullet"/>
      <w:lvlText w:val="o"/>
      <w:lvlJc w:val="left"/>
      <w:pPr>
        <w:tabs>
          <w:tab w:val="num" w:pos="1440"/>
        </w:tabs>
        <w:ind w:left="1440" w:hanging="360"/>
      </w:pPr>
      <w:rPr>
        <w:rFonts w:ascii="Courier New" w:hAnsi="Courier New" w:cs="Courier New" w:hint="default"/>
      </w:rPr>
    </w:lvl>
    <w:lvl w:ilvl="2" w:tplc="58065DCE" w:tentative="1">
      <w:start w:val="1"/>
      <w:numFmt w:val="bullet"/>
      <w:lvlText w:val=""/>
      <w:lvlJc w:val="left"/>
      <w:pPr>
        <w:tabs>
          <w:tab w:val="num" w:pos="2160"/>
        </w:tabs>
        <w:ind w:left="2160" w:hanging="360"/>
      </w:pPr>
      <w:rPr>
        <w:rFonts w:ascii="Wingdings" w:hAnsi="Wingdings" w:hint="default"/>
      </w:rPr>
    </w:lvl>
    <w:lvl w:ilvl="3" w:tplc="42A05AA0" w:tentative="1">
      <w:start w:val="1"/>
      <w:numFmt w:val="bullet"/>
      <w:lvlText w:val=""/>
      <w:lvlJc w:val="left"/>
      <w:pPr>
        <w:tabs>
          <w:tab w:val="num" w:pos="2880"/>
        </w:tabs>
        <w:ind w:left="2880" w:hanging="360"/>
      </w:pPr>
      <w:rPr>
        <w:rFonts w:ascii="Symbol" w:hAnsi="Symbol" w:hint="default"/>
      </w:rPr>
    </w:lvl>
    <w:lvl w:ilvl="4" w:tplc="13D2AECC" w:tentative="1">
      <w:start w:val="1"/>
      <w:numFmt w:val="bullet"/>
      <w:lvlText w:val="o"/>
      <w:lvlJc w:val="left"/>
      <w:pPr>
        <w:tabs>
          <w:tab w:val="num" w:pos="3600"/>
        </w:tabs>
        <w:ind w:left="3600" w:hanging="360"/>
      </w:pPr>
      <w:rPr>
        <w:rFonts w:ascii="Courier New" w:hAnsi="Courier New" w:cs="Courier New" w:hint="default"/>
      </w:rPr>
    </w:lvl>
    <w:lvl w:ilvl="5" w:tplc="45043D3E" w:tentative="1">
      <w:start w:val="1"/>
      <w:numFmt w:val="bullet"/>
      <w:lvlText w:val=""/>
      <w:lvlJc w:val="left"/>
      <w:pPr>
        <w:tabs>
          <w:tab w:val="num" w:pos="4320"/>
        </w:tabs>
        <w:ind w:left="4320" w:hanging="360"/>
      </w:pPr>
      <w:rPr>
        <w:rFonts w:ascii="Wingdings" w:hAnsi="Wingdings" w:hint="default"/>
      </w:rPr>
    </w:lvl>
    <w:lvl w:ilvl="6" w:tplc="FCA4C1FC" w:tentative="1">
      <w:start w:val="1"/>
      <w:numFmt w:val="bullet"/>
      <w:lvlText w:val=""/>
      <w:lvlJc w:val="left"/>
      <w:pPr>
        <w:tabs>
          <w:tab w:val="num" w:pos="5040"/>
        </w:tabs>
        <w:ind w:left="5040" w:hanging="360"/>
      </w:pPr>
      <w:rPr>
        <w:rFonts w:ascii="Symbol" w:hAnsi="Symbol" w:hint="default"/>
      </w:rPr>
    </w:lvl>
    <w:lvl w:ilvl="7" w:tplc="9CEA2C42" w:tentative="1">
      <w:start w:val="1"/>
      <w:numFmt w:val="bullet"/>
      <w:lvlText w:val="o"/>
      <w:lvlJc w:val="left"/>
      <w:pPr>
        <w:tabs>
          <w:tab w:val="num" w:pos="5760"/>
        </w:tabs>
        <w:ind w:left="5760" w:hanging="360"/>
      </w:pPr>
      <w:rPr>
        <w:rFonts w:ascii="Courier New" w:hAnsi="Courier New" w:cs="Courier New" w:hint="default"/>
      </w:rPr>
    </w:lvl>
    <w:lvl w:ilvl="8" w:tplc="58F4EB0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C668D"/>
    <w:multiLevelType w:val="hybridMultilevel"/>
    <w:tmpl w:val="594C4DAE"/>
    <w:lvl w:ilvl="0" w:tplc="B4C43CD8">
      <w:start w:val="1"/>
      <w:numFmt w:val="bullet"/>
      <w:pStyle w:val="Bullet4"/>
      <w:lvlText w:val=""/>
      <w:lvlJc w:val="left"/>
      <w:pPr>
        <w:tabs>
          <w:tab w:val="num" w:pos="2676"/>
        </w:tabs>
        <w:ind w:left="2676" w:hanging="357"/>
      </w:pPr>
      <w:rPr>
        <w:rFonts w:ascii="Symbol" w:hAnsi="Symbol" w:hint="default"/>
        <w:color w:val="000000"/>
      </w:rPr>
    </w:lvl>
    <w:lvl w:ilvl="1" w:tplc="A7469B5A" w:tentative="1">
      <w:start w:val="1"/>
      <w:numFmt w:val="bullet"/>
      <w:lvlText w:val="o"/>
      <w:lvlJc w:val="left"/>
      <w:pPr>
        <w:tabs>
          <w:tab w:val="num" w:pos="1440"/>
        </w:tabs>
        <w:ind w:left="1440" w:hanging="360"/>
      </w:pPr>
      <w:rPr>
        <w:rFonts w:ascii="Courier New" w:hAnsi="Courier New" w:cs="Courier New" w:hint="default"/>
      </w:rPr>
    </w:lvl>
    <w:lvl w:ilvl="2" w:tplc="30C08D12" w:tentative="1">
      <w:start w:val="1"/>
      <w:numFmt w:val="bullet"/>
      <w:lvlText w:val=""/>
      <w:lvlJc w:val="left"/>
      <w:pPr>
        <w:tabs>
          <w:tab w:val="num" w:pos="2160"/>
        </w:tabs>
        <w:ind w:left="2160" w:hanging="360"/>
      </w:pPr>
      <w:rPr>
        <w:rFonts w:ascii="Wingdings" w:hAnsi="Wingdings" w:hint="default"/>
      </w:rPr>
    </w:lvl>
    <w:lvl w:ilvl="3" w:tplc="6F069108" w:tentative="1">
      <w:start w:val="1"/>
      <w:numFmt w:val="bullet"/>
      <w:lvlText w:val=""/>
      <w:lvlJc w:val="left"/>
      <w:pPr>
        <w:tabs>
          <w:tab w:val="num" w:pos="2880"/>
        </w:tabs>
        <w:ind w:left="2880" w:hanging="360"/>
      </w:pPr>
      <w:rPr>
        <w:rFonts w:ascii="Symbol" w:hAnsi="Symbol" w:hint="default"/>
      </w:rPr>
    </w:lvl>
    <w:lvl w:ilvl="4" w:tplc="6256F43E" w:tentative="1">
      <w:start w:val="1"/>
      <w:numFmt w:val="bullet"/>
      <w:lvlText w:val="o"/>
      <w:lvlJc w:val="left"/>
      <w:pPr>
        <w:tabs>
          <w:tab w:val="num" w:pos="3600"/>
        </w:tabs>
        <w:ind w:left="3600" w:hanging="360"/>
      </w:pPr>
      <w:rPr>
        <w:rFonts w:ascii="Courier New" w:hAnsi="Courier New" w:cs="Courier New" w:hint="default"/>
      </w:rPr>
    </w:lvl>
    <w:lvl w:ilvl="5" w:tplc="7574623C" w:tentative="1">
      <w:start w:val="1"/>
      <w:numFmt w:val="bullet"/>
      <w:lvlText w:val=""/>
      <w:lvlJc w:val="left"/>
      <w:pPr>
        <w:tabs>
          <w:tab w:val="num" w:pos="4320"/>
        </w:tabs>
        <w:ind w:left="4320" w:hanging="360"/>
      </w:pPr>
      <w:rPr>
        <w:rFonts w:ascii="Wingdings" w:hAnsi="Wingdings" w:hint="default"/>
      </w:rPr>
    </w:lvl>
    <w:lvl w:ilvl="6" w:tplc="F0546542" w:tentative="1">
      <w:start w:val="1"/>
      <w:numFmt w:val="bullet"/>
      <w:lvlText w:val=""/>
      <w:lvlJc w:val="left"/>
      <w:pPr>
        <w:tabs>
          <w:tab w:val="num" w:pos="5040"/>
        </w:tabs>
        <w:ind w:left="5040" w:hanging="360"/>
      </w:pPr>
      <w:rPr>
        <w:rFonts w:ascii="Symbol" w:hAnsi="Symbol" w:hint="default"/>
      </w:rPr>
    </w:lvl>
    <w:lvl w:ilvl="7" w:tplc="11DA2486" w:tentative="1">
      <w:start w:val="1"/>
      <w:numFmt w:val="bullet"/>
      <w:lvlText w:val="o"/>
      <w:lvlJc w:val="left"/>
      <w:pPr>
        <w:tabs>
          <w:tab w:val="num" w:pos="5760"/>
        </w:tabs>
        <w:ind w:left="5760" w:hanging="360"/>
      </w:pPr>
      <w:rPr>
        <w:rFonts w:ascii="Courier New" w:hAnsi="Courier New" w:cs="Courier New" w:hint="default"/>
      </w:rPr>
    </w:lvl>
    <w:lvl w:ilvl="8" w:tplc="B0F437D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15:restartNumberingAfterBreak="0">
    <w:nsid w:val="38130038"/>
    <w:multiLevelType w:val="hybridMultilevel"/>
    <w:tmpl w:val="FF8A0FAE"/>
    <w:lvl w:ilvl="0" w:tplc="BB948F1E">
      <w:start w:val="1"/>
      <w:numFmt w:val="bullet"/>
      <w:pStyle w:val="ClauseBullet2"/>
      <w:lvlText w:val=""/>
      <w:lvlJc w:val="left"/>
      <w:pPr>
        <w:ind w:left="1440" w:hanging="360"/>
      </w:pPr>
      <w:rPr>
        <w:rFonts w:ascii="Symbol" w:hAnsi="Symbol" w:hint="default"/>
        <w:color w:val="000000"/>
      </w:rPr>
    </w:lvl>
    <w:lvl w:ilvl="1" w:tplc="D3E4549C" w:tentative="1">
      <w:start w:val="1"/>
      <w:numFmt w:val="bullet"/>
      <w:lvlText w:val="o"/>
      <w:lvlJc w:val="left"/>
      <w:pPr>
        <w:ind w:left="2160" w:hanging="360"/>
      </w:pPr>
      <w:rPr>
        <w:rFonts w:ascii="Courier New" w:hAnsi="Courier New" w:cs="Courier New" w:hint="default"/>
      </w:rPr>
    </w:lvl>
    <w:lvl w:ilvl="2" w:tplc="70C82E14" w:tentative="1">
      <w:start w:val="1"/>
      <w:numFmt w:val="bullet"/>
      <w:lvlText w:val=""/>
      <w:lvlJc w:val="left"/>
      <w:pPr>
        <w:ind w:left="2880" w:hanging="360"/>
      </w:pPr>
      <w:rPr>
        <w:rFonts w:ascii="Wingdings" w:hAnsi="Wingdings" w:hint="default"/>
      </w:rPr>
    </w:lvl>
    <w:lvl w:ilvl="3" w:tplc="35DCA164" w:tentative="1">
      <w:start w:val="1"/>
      <w:numFmt w:val="bullet"/>
      <w:lvlText w:val=""/>
      <w:lvlJc w:val="left"/>
      <w:pPr>
        <w:ind w:left="3600" w:hanging="360"/>
      </w:pPr>
      <w:rPr>
        <w:rFonts w:ascii="Symbol" w:hAnsi="Symbol" w:hint="default"/>
      </w:rPr>
    </w:lvl>
    <w:lvl w:ilvl="4" w:tplc="21B0E3A4" w:tentative="1">
      <w:start w:val="1"/>
      <w:numFmt w:val="bullet"/>
      <w:lvlText w:val="o"/>
      <w:lvlJc w:val="left"/>
      <w:pPr>
        <w:ind w:left="4320" w:hanging="360"/>
      </w:pPr>
      <w:rPr>
        <w:rFonts w:ascii="Courier New" w:hAnsi="Courier New" w:cs="Courier New" w:hint="default"/>
      </w:rPr>
    </w:lvl>
    <w:lvl w:ilvl="5" w:tplc="A00A5250" w:tentative="1">
      <w:start w:val="1"/>
      <w:numFmt w:val="bullet"/>
      <w:lvlText w:val=""/>
      <w:lvlJc w:val="left"/>
      <w:pPr>
        <w:ind w:left="5040" w:hanging="360"/>
      </w:pPr>
      <w:rPr>
        <w:rFonts w:ascii="Wingdings" w:hAnsi="Wingdings" w:hint="default"/>
      </w:rPr>
    </w:lvl>
    <w:lvl w:ilvl="6" w:tplc="5830A046" w:tentative="1">
      <w:start w:val="1"/>
      <w:numFmt w:val="bullet"/>
      <w:lvlText w:val=""/>
      <w:lvlJc w:val="left"/>
      <w:pPr>
        <w:ind w:left="5760" w:hanging="360"/>
      </w:pPr>
      <w:rPr>
        <w:rFonts w:ascii="Symbol" w:hAnsi="Symbol" w:hint="default"/>
      </w:rPr>
    </w:lvl>
    <w:lvl w:ilvl="7" w:tplc="305EF032" w:tentative="1">
      <w:start w:val="1"/>
      <w:numFmt w:val="bullet"/>
      <w:lvlText w:val="o"/>
      <w:lvlJc w:val="left"/>
      <w:pPr>
        <w:ind w:left="6480" w:hanging="360"/>
      </w:pPr>
      <w:rPr>
        <w:rFonts w:ascii="Courier New" w:hAnsi="Courier New" w:cs="Courier New" w:hint="default"/>
      </w:rPr>
    </w:lvl>
    <w:lvl w:ilvl="8" w:tplc="6FA6A96C" w:tentative="1">
      <w:start w:val="1"/>
      <w:numFmt w:val="bullet"/>
      <w:lvlText w:val=""/>
      <w:lvlJc w:val="left"/>
      <w:pPr>
        <w:ind w:left="7200" w:hanging="360"/>
      </w:pPr>
      <w:rPr>
        <w:rFonts w:ascii="Wingdings" w:hAnsi="Wingdings" w:hint="default"/>
      </w:rPr>
    </w:lvl>
  </w:abstractNum>
  <w:abstractNum w:abstractNumId="27" w15:restartNumberingAfterBreak="0">
    <w:nsid w:val="402E6DC1"/>
    <w:multiLevelType w:val="hybridMultilevel"/>
    <w:tmpl w:val="8AAEB3E8"/>
    <w:lvl w:ilvl="0" w:tplc="6E22A18E">
      <w:start w:val="1"/>
      <w:numFmt w:val="bullet"/>
      <w:lvlText w:val=""/>
      <w:lvlJc w:val="left"/>
      <w:pPr>
        <w:ind w:left="720" w:hanging="360"/>
      </w:pPr>
      <w:rPr>
        <w:rFonts w:ascii="Symbol" w:hAnsi="Symbol" w:hint="default"/>
        <w:color w:val="000000"/>
      </w:rPr>
    </w:lvl>
    <w:lvl w:ilvl="1" w:tplc="4E00F004" w:tentative="1">
      <w:start w:val="1"/>
      <w:numFmt w:val="bullet"/>
      <w:lvlText w:val="o"/>
      <w:lvlJc w:val="left"/>
      <w:pPr>
        <w:ind w:left="1440" w:hanging="360"/>
      </w:pPr>
      <w:rPr>
        <w:rFonts w:ascii="Courier New" w:hAnsi="Courier New" w:cs="Courier New" w:hint="default"/>
      </w:rPr>
    </w:lvl>
    <w:lvl w:ilvl="2" w:tplc="5D9EE57A" w:tentative="1">
      <w:start w:val="1"/>
      <w:numFmt w:val="bullet"/>
      <w:lvlText w:val=""/>
      <w:lvlJc w:val="left"/>
      <w:pPr>
        <w:ind w:left="2160" w:hanging="360"/>
      </w:pPr>
      <w:rPr>
        <w:rFonts w:ascii="Wingdings" w:hAnsi="Wingdings" w:hint="default"/>
      </w:rPr>
    </w:lvl>
    <w:lvl w:ilvl="3" w:tplc="FA10F426" w:tentative="1">
      <w:start w:val="1"/>
      <w:numFmt w:val="bullet"/>
      <w:lvlText w:val=""/>
      <w:lvlJc w:val="left"/>
      <w:pPr>
        <w:ind w:left="2880" w:hanging="360"/>
      </w:pPr>
      <w:rPr>
        <w:rFonts w:ascii="Symbol" w:hAnsi="Symbol" w:hint="default"/>
      </w:rPr>
    </w:lvl>
    <w:lvl w:ilvl="4" w:tplc="038A3E02" w:tentative="1">
      <w:start w:val="1"/>
      <w:numFmt w:val="bullet"/>
      <w:lvlText w:val="o"/>
      <w:lvlJc w:val="left"/>
      <w:pPr>
        <w:ind w:left="3600" w:hanging="360"/>
      </w:pPr>
      <w:rPr>
        <w:rFonts w:ascii="Courier New" w:hAnsi="Courier New" w:cs="Courier New" w:hint="default"/>
      </w:rPr>
    </w:lvl>
    <w:lvl w:ilvl="5" w:tplc="2AF2F692" w:tentative="1">
      <w:start w:val="1"/>
      <w:numFmt w:val="bullet"/>
      <w:lvlText w:val=""/>
      <w:lvlJc w:val="left"/>
      <w:pPr>
        <w:ind w:left="4320" w:hanging="360"/>
      </w:pPr>
      <w:rPr>
        <w:rFonts w:ascii="Wingdings" w:hAnsi="Wingdings" w:hint="default"/>
      </w:rPr>
    </w:lvl>
    <w:lvl w:ilvl="6" w:tplc="EF0681E4" w:tentative="1">
      <w:start w:val="1"/>
      <w:numFmt w:val="bullet"/>
      <w:lvlText w:val=""/>
      <w:lvlJc w:val="left"/>
      <w:pPr>
        <w:ind w:left="5040" w:hanging="360"/>
      </w:pPr>
      <w:rPr>
        <w:rFonts w:ascii="Symbol" w:hAnsi="Symbol" w:hint="default"/>
      </w:rPr>
    </w:lvl>
    <w:lvl w:ilvl="7" w:tplc="690EA35A" w:tentative="1">
      <w:start w:val="1"/>
      <w:numFmt w:val="bullet"/>
      <w:lvlText w:val="o"/>
      <w:lvlJc w:val="left"/>
      <w:pPr>
        <w:ind w:left="5760" w:hanging="360"/>
      </w:pPr>
      <w:rPr>
        <w:rFonts w:ascii="Courier New" w:hAnsi="Courier New" w:cs="Courier New" w:hint="default"/>
      </w:rPr>
    </w:lvl>
    <w:lvl w:ilvl="8" w:tplc="614AE744" w:tentative="1">
      <w:start w:val="1"/>
      <w:numFmt w:val="bullet"/>
      <w:lvlText w:val=""/>
      <w:lvlJc w:val="left"/>
      <w:pPr>
        <w:ind w:left="6480" w:hanging="360"/>
      </w:pPr>
      <w:rPr>
        <w:rFonts w:ascii="Wingdings" w:hAnsi="Wingdings" w:hint="default"/>
      </w:rPr>
    </w:lvl>
  </w:abstractNum>
  <w:abstractNum w:abstractNumId="28" w15:restartNumberingAfterBreak="0">
    <w:nsid w:val="44D67987"/>
    <w:multiLevelType w:val="hybridMultilevel"/>
    <w:tmpl w:val="EBD6FB80"/>
    <w:lvl w:ilvl="0" w:tplc="5AB65216">
      <w:start w:val="1"/>
      <w:numFmt w:val="bullet"/>
      <w:pStyle w:val="subclause1Bullet2"/>
      <w:lvlText w:val=""/>
      <w:lvlJc w:val="left"/>
      <w:pPr>
        <w:ind w:left="1440" w:hanging="360"/>
      </w:pPr>
      <w:rPr>
        <w:rFonts w:ascii="Symbol" w:hAnsi="Symbol" w:hint="default"/>
        <w:color w:val="000000"/>
      </w:rPr>
    </w:lvl>
    <w:lvl w:ilvl="1" w:tplc="AC92EB34" w:tentative="1">
      <w:start w:val="1"/>
      <w:numFmt w:val="bullet"/>
      <w:lvlText w:val="o"/>
      <w:lvlJc w:val="left"/>
      <w:pPr>
        <w:ind w:left="2160" w:hanging="360"/>
      </w:pPr>
      <w:rPr>
        <w:rFonts w:ascii="Courier New" w:hAnsi="Courier New" w:cs="Courier New" w:hint="default"/>
      </w:rPr>
    </w:lvl>
    <w:lvl w:ilvl="2" w:tplc="E1AE8E92" w:tentative="1">
      <w:start w:val="1"/>
      <w:numFmt w:val="bullet"/>
      <w:lvlText w:val=""/>
      <w:lvlJc w:val="left"/>
      <w:pPr>
        <w:ind w:left="2880" w:hanging="360"/>
      </w:pPr>
      <w:rPr>
        <w:rFonts w:ascii="Wingdings" w:hAnsi="Wingdings" w:hint="default"/>
      </w:rPr>
    </w:lvl>
    <w:lvl w:ilvl="3" w:tplc="0570F968" w:tentative="1">
      <w:start w:val="1"/>
      <w:numFmt w:val="bullet"/>
      <w:lvlText w:val=""/>
      <w:lvlJc w:val="left"/>
      <w:pPr>
        <w:ind w:left="3600" w:hanging="360"/>
      </w:pPr>
      <w:rPr>
        <w:rFonts w:ascii="Symbol" w:hAnsi="Symbol" w:hint="default"/>
      </w:rPr>
    </w:lvl>
    <w:lvl w:ilvl="4" w:tplc="8BE07A2A" w:tentative="1">
      <w:start w:val="1"/>
      <w:numFmt w:val="bullet"/>
      <w:lvlText w:val="o"/>
      <w:lvlJc w:val="left"/>
      <w:pPr>
        <w:ind w:left="4320" w:hanging="360"/>
      </w:pPr>
      <w:rPr>
        <w:rFonts w:ascii="Courier New" w:hAnsi="Courier New" w:cs="Courier New" w:hint="default"/>
      </w:rPr>
    </w:lvl>
    <w:lvl w:ilvl="5" w:tplc="1D14D308" w:tentative="1">
      <w:start w:val="1"/>
      <w:numFmt w:val="bullet"/>
      <w:lvlText w:val=""/>
      <w:lvlJc w:val="left"/>
      <w:pPr>
        <w:ind w:left="5040" w:hanging="360"/>
      </w:pPr>
      <w:rPr>
        <w:rFonts w:ascii="Wingdings" w:hAnsi="Wingdings" w:hint="default"/>
      </w:rPr>
    </w:lvl>
    <w:lvl w:ilvl="6" w:tplc="98A4772C" w:tentative="1">
      <w:start w:val="1"/>
      <w:numFmt w:val="bullet"/>
      <w:lvlText w:val=""/>
      <w:lvlJc w:val="left"/>
      <w:pPr>
        <w:ind w:left="5760" w:hanging="360"/>
      </w:pPr>
      <w:rPr>
        <w:rFonts w:ascii="Symbol" w:hAnsi="Symbol" w:hint="default"/>
      </w:rPr>
    </w:lvl>
    <w:lvl w:ilvl="7" w:tplc="4F1A0B7A" w:tentative="1">
      <w:start w:val="1"/>
      <w:numFmt w:val="bullet"/>
      <w:lvlText w:val="o"/>
      <w:lvlJc w:val="left"/>
      <w:pPr>
        <w:ind w:left="6480" w:hanging="360"/>
      </w:pPr>
      <w:rPr>
        <w:rFonts w:ascii="Courier New" w:hAnsi="Courier New" w:cs="Courier New" w:hint="default"/>
      </w:rPr>
    </w:lvl>
    <w:lvl w:ilvl="8" w:tplc="A38E2544" w:tentative="1">
      <w:start w:val="1"/>
      <w:numFmt w:val="bullet"/>
      <w:lvlText w:val=""/>
      <w:lvlJc w:val="left"/>
      <w:pPr>
        <w:ind w:left="7200" w:hanging="360"/>
      </w:pPr>
      <w:rPr>
        <w:rFonts w:ascii="Wingdings" w:hAnsi="Wingdings" w:hint="default"/>
      </w:rPr>
    </w:lvl>
  </w:abstractNum>
  <w:abstractNum w:abstractNumId="29" w15:restartNumberingAfterBreak="0">
    <w:nsid w:val="44E96665"/>
    <w:multiLevelType w:val="hybridMultilevel"/>
    <w:tmpl w:val="EF1E142A"/>
    <w:lvl w:ilvl="0" w:tplc="7382B2F0">
      <w:start w:val="1"/>
      <w:numFmt w:val="bullet"/>
      <w:pStyle w:val="subclause3Bullet1"/>
      <w:lvlText w:val=""/>
      <w:lvlJc w:val="left"/>
      <w:pPr>
        <w:ind w:left="2988" w:hanging="360"/>
      </w:pPr>
      <w:rPr>
        <w:rFonts w:ascii="Symbol" w:hAnsi="Symbol" w:hint="default"/>
        <w:color w:val="000000"/>
      </w:rPr>
    </w:lvl>
    <w:lvl w:ilvl="1" w:tplc="19262088" w:tentative="1">
      <w:start w:val="1"/>
      <w:numFmt w:val="bullet"/>
      <w:lvlText w:val="o"/>
      <w:lvlJc w:val="left"/>
      <w:pPr>
        <w:ind w:left="3708" w:hanging="360"/>
      </w:pPr>
      <w:rPr>
        <w:rFonts w:ascii="Courier New" w:hAnsi="Courier New" w:cs="Courier New" w:hint="default"/>
      </w:rPr>
    </w:lvl>
    <w:lvl w:ilvl="2" w:tplc="87BEF522" w:tentative="1">
      <w:start w:val="1"/>
      <w:numFmt w:val="bullet"/>
      <w:lvlText w:val=""/>
      <w:lvlJc w:val="left"/>
      <w:pPr>
        <w:ind w:left="4428" w:hanging="360"/>
      </w:pPr>
      <w:rPr>
        <w:rFonts w:ascii="Wingdings" w:hAnsi="Wingdings" w:hint="default"/>
      </w:rPr>
    </w:lvl>
    <w:lvl w:ilvl="3" w:tplc="BDCE05E2" w:tentative="1">
      <w:start w:val="1"/>
      <w:numFmt w:val="bullet"/>
      <w:lvlText w:val=""/>
      <w:lvlJc w:val="left"/>
      <w:pPr>
        <w:ind w:left="5148" w:hanging="360"/>
      </w:pPr>
      <w:rPr>
        <w:rFonts w:ascii="Symbol" w:hAnsi="Symbol" w:hint="default"/>
      </w:rPr>
    </w:lvl>
    <w:lvl w:ilvl="4" w:tplc="F36E73F2" w:tentative="1">
      <w:start w:val="1"/>
      <w:numFmt w:val="bullet"/>
      <w:lvlText w:val="o"/>
      <w:lvlJc w:val="left"/>
      <w:pPr>
        <w:ind w:left="5868" w:hanging="360"/>
      </w:pPr>
      <w:rPr>
        <w:rFonts w:ascii="Courier New" w:hAnsi="Courier New" w:cs="Courier New" w:hint="default"/>
      </w:rPr>
    </w:lvl>
    <w:lvl w:ilvl="5" w:tplc="AF2EEABC" w:tentative="1">
      <w:start w:val="1"/>
      <w:numFmt w:val="bullet"/>
      <w:lvlText w:val=""/>
      <w:lvlJc w:val="left"/>
      <w:pPr>
        <w:ind w:left="6588" w:hanging="360"/>
      </w:pPr>
      <w:rPr>
        <w:rFonts w:ascii="Wingdings" w:hAnsi="Wingdings" w:hint="default"/>
      </w:rPr>
    </w:lvl>
    <w:lvl w:ilvl="6" w:tplc="AFC23A06" w:tentative="1">
      <w:start w:val="1"/>
      <w:numFmt w:val="bullet"/>
      <w:lvlText w:val=""/>
      <w:lvlJc w:val="left"/>
      <w:pPr>
        <w:ind w:left="7308" w:hanging="360"/>
      </w:pPr>
      <w:rPr>
        <w:rFonts w:ascii="Symbol" w:hAnsi="Symbol" w:hint="default"/>
      </w:rPr>
    </w:lvl>
    <w:lvl w:ilvl="7" w:tplc="445AA4DA" w:tentative="1">
      <w:start w:val="1"/>
      <w:numFmt w:val="bullet"/>
      <w:lvlText w:val="o"/>
      <w:lvlJc w:val="left"/>
      <w:pPr>
        <w:ind w:left="8028" w:hanging="360"/>
      </w:pPr>
      <w:rPr>
        <w:rFonts w:ascii="Courier New" w:hAnsi="Courier New" w:cs="Courier New" w:hint="default"/>
      </w:rPr>
    </w:lvl>
    <w:lvl w:ilvl="8" w:tplc="CDE8C310" w:tentative="1">
      <w:start w:val="1"/>
      <w:numFmt w:val="bullet"/>
      <w:lvlText w:val=""/>
      <w:lvlJc w:val="left"/>
      <w:pPr>
        <w:ind w:left="8748" w:hanging="360"/>
      </w:pPr>
      <w:rPr>
        <w:rFonts w:ascii="Wingdings" w:hAnsi="Wingdings" w:hint="default"/>
      </w:rPr>
    </w:lvl>
  </w:abstractNum>
  <w:abstractNum w:abstractNumId="30" w15:restartNumberingAfterBreak="0">
    <w:nsid w:val="46AC04C6"/>
    <w:multiLevelType w:val="hybridMultilevel"/>
    <w:tmpl w:val="E6C47700"/>
    <w:lvl w:ilvl="0" w:tplc="B3763EC8">
      <w:start w:val="1"/>
      <w:numFmt w:val="bullet"/>
      <w:pStyle w:val="subclause2Bullet1"/>
      <w:lvlText w:val=""/>
      <w:lvlJc w:val="left"/>
      <w:pPr>
        <w:ind w:left="2279" w:hanging="360"/>
      </w:pPr>
      <w:rPr>
        <w:rFonts w:ascii="Symbol" w:hAnsi="Symbol" w:hint="default"/>
        <w:color w:val="000000"/>
      </w:rPr>
    </w:lvl>
    <w:lvl w:ilvl="1" w:tplc="DAD0F034" w:tentative="1">
      <w:start w:val="1"/>
      <w:numFmt w:val="bullet"/>
      <w:lvlText w:val="o"/>
      <w:lvlJc w:val="left"/>
      <w:pPr>
        <w:ind w:left="2999" w:hanging="360"/>
      </w:pPr>
      <w:rPr>
        <w:rFonts w:ascii="Courier New" w:hAnsi="Courier New" w:cs="Courier New" w:hint="default"/>
      </w:rPr>
    </w:lvl>
    <w:lvl w:ilvl="2" w:tplc="BD9A2F4E" w:tentative="1">
      <w:start w:val="1"/>
      <w:numFmt w:val="bullet"/>
      <w:lvlText w:val=""/>
      <w:lvlJc w:val="left"/>
      <w:pPr>
        <w:ind w:left="3719" w:hanging="360"/>
      </w:pPr>
      <w:rPr>
        <w:rFonts w:ascii="Wingdings" w:hAnsi="Wingdings" w:hint="default"/>
      </w:rPr>
    </w:lvl>
    <w:lvl w:ilvl="3" w:tplc="4984CCAA" w:tentative="1">
      <w:start w:val="1"/>
      <w:numFmt w:val="bullet"/>
      <w:lvlText w:val=""/>
      <w:lvlJc w:val="left"/>
      <w:pPr>
        <w:ind w:left="4439" w:hanging="360"/>
      </w:pPr>
      <w:rPr>
        <w:rFonts w:ascii="Symbol" w:hAnsi="Symbol" w:hint="default"/>
      </w:rPr>
    </w:lvl>
    <w:lvl w:ilvl="4" w:tplc="0F5ED3AE" w:tentative="1">
      <w:start w:val="1"/>
      <w:numFmt w:val="bullet"/>
      <w:lvlText w:val="o"/>
      <w:lvlJc w:val="left"/>
      <w:pPr>
        <w:ind w:left="5159" w:hanging="360"/>
      </w:pPr>
      <w:rPr>
        <w:rFonts w:ascii="Courier New" w:hAnsi="Courier New" w:cs="Courier New" w:hint="default"/>
      </w:rPr>
    </w:lvl>
    <w:lvl w:ilvl="5" w:tplc="39666D00" w:tentative="1">
      <w:start w:val="1"/>
      <w:numFmt w:val="bullet"/>
      <w:lvlText w:val=""/>
      <w:lvlJc w:val="left"/>
      <w:pPr>
        <w:ind w:left="5879" w:hanging="360"/>
      </w:pPr>
      <w:rPr>
        <w:rFonts w:ascii="Wingdings" w:hAnsi="Wingdings" w:hint="default"/>
      </w:rPr>
    </w:lvl>
    <w:lvl w:ilvl="6" w:tplc="F73671B6" w:tentative="1">
      <w:start w:val="1"/>
      <w:numFmt w:val="bullet"/>
      <w:lvlText w:val=""/>
      <w:lvlJc w:val="left"/>
      <w:pPr>
        <w:ind w:left="6599" w:hanging="360"/>
      </w:pPr>
      <w:rPr>
        <w:rFonts w:ascii="Symbol" w:hAnsi="Symbol" w:hint="default"/>
      </w:rPr>
    </w:lvl>
    <w:lvl w:ilvl="7" w:tplc="B8788834" w:tentative="1">
      <w:start w:val="1"/>
      <w:numFmt w:val="bullet"/>
      <w:lvlText w:val="o"/>
      <w:lvlJc w:val="left"/>
      <w:pPr>
        <w:ind w:left="7319" w:hanging="360"/>
      </w:pPr>
      <w:rPr>
        <w:rFonts w:ascii="Courier New" w:hAnsi="Courier New" w:cs="Courier New" w:hint="default"/>
      </w:rPr>
    </w:lvl>
    <w:lvl w:ilvl="8" w:tplc="C4D6E5AC" w:tentative="1">
      <w:start w:val="1"/>
      <w:numFmt w:val="bullet"/>
      <w:lvlText w:val=""/>
      <w:lvlJc w:val="left"/>
      <w:pPr>
        <w:ind w:left="8039" w:hanging="360"/>
      </w:pPr>
      <w:rPr>
        <w:rFonts w:ascii="Wingdings" w:hAnsi="Wingdings" w:hint="default"/>
      </w:rPr>
    </w:lvl>
  </w:abstractNum>
  <w:abstractNum w:abstractNumId="31" w15:restartNumberingAfterBreak="0">
    <w:nsid w:val="47F42723"/>
    <w:multiLevelType w:val="hybridMultilevel"/>
    <w:tmpl w:val="C5A02EE6"/>
    <w:lvl w:ilvl="0" w:tplc="4B243B30">
      <w:start w:val="1"/>
      <w:numFmt w:val="bullet"/>
      <w:pStyle w:val="subclause1Bullet1"/>
      <w:lvlText w:val=""/>
      <w:lvlJc w:val="left"/>
      <w:pPr>
        <w:ind w:left="1440" w:hanging="360"/>
      </w:pPr>
      <w:rPr>
        <w:rFonts w:ascii="Symbol" w:hAnsi="Symbol" w:hint="default"/>
        <w:color w:val="000000"/>
      </w:rPr>
    </w:lvl>
    <w:lvl w:ilvl="1" w:tplc="2756866C" w:tentative="1">
      <w:start w:val="1"/>
      <w:numFmt w:val="bullet"/>
      <w:lvlText w:val="o"/>
      <w:lvlJc w:val="left"/>
      <w:pPr>
        <w:ind w:left="2160" w:hanging="360"/>
      </w:pPr>
      <w:rPr>
        <w:rFonts w:ascii="Courier New" w:hAnsi="Courier New" w:cs="Courier New" w:hint="default"/>
      </w:rPr>
    </w:lvl>
    <w:lvl w:ilvl="2" w:tplc="73D4E676" w:tentative="1">
      <w:start w:val="1"/>
      <w:numFmt w:val="bullet"/>
      <w:lvlText w:val=""/>
      <w:lvlJc w:val="left"/>
      <w:pPr>
        <w:ind w:left="2880" w:hanging="360"/>
      </w:pPr>
      <w:rPr>
        <w:rFonts w:ascii="Wingdings" w:hAnsi="Wingdings" w:hint="default"/>
      </w:rPr>
    </w:lvl>
    <w:lvl w:ilvl="3" w:tplc="CB589B8E" w:tentative="1">
      <w:start w:val="1"/>
      <w:numFmt w:val="bullet"/>
      <w:lvlText w:val=""/>
      <w:lvlJc w:val="left"/>
      <w:pPr>
        <w:ind w:left="3600" w:hanging="360"/>
      </w:pPr>
      <w:rPr>
        <w:rFonts w:ascii="Symbol" w:hAnsi="Symbol" w:hint="default"/>
      </w:rPr>
    </w:lvl>
    <w:lvl w:ilvl="4" w:tplc="35487FC6" w:tentative="1">
      <w:start w:val="1"/>
      <w:numFmt w:val="bullet"/>
      <w:lvlText w:val="o"/>
      <w:lvlJc w:val="left"/>
      <w:pPr>
        <w:ind w:left="4320" w:hanging="360"/>
      </w:pPr>
      <w:rPr>
        <w:rFonts w:ascii="Courier New" w:hAnsi="Courier New" w:cs="Courier New" w:hint="default"/>
      </w:rPr>
    </w:lvl>
    <w:lvl w:ilvl="5" w:tplc="619049E8" w:tentative="1">
      <w:start w:val="1"/>
      <w:numFmt w:val="bullet"/>
      <w:lvlText w:val=""/>
      <w:lvlJc w:val="left"/>
      <w:pPr>
        <w:ind w:left="5040" w:hanging="360"/>
      </w:pPr>
      <w:rPr>
        <w:rFonts w:ascii="Wingdings" w:hAnsi="Wingdings" w:hint="default"/>
      </w:rPr>
    </w:lvl>
    <w:lvl w:ilvl="6" w:tplc="BD060120" w:tentative="1">
      <w:start w:val="1"/>
      <w:numFmt w:val="bullet"/>
      <w:lvlText w:val=""/>
      <w:lvlJc w:val="left"/>
      <w:pPr>
        <w:ind w:left="5760" w:hanging="360"/>
      </w:pPr>
      <w:rPr>
        <w:rFonts w:ascii="Symbol" w:hAnsi="Symbol" w:hint="default"/>
      </w:rPr>
    </w:lvl>
    <w:lvl w:ilvl="7" w:tplc="74DCB134" w:tentative="1">
      <w:start w:val="1"/>
      <w:numFmt w:val="bullet"/>
      <w:lvlText w:val="o"/>
      <w:lvlJc w:val="left"/>
      <w:pPr>
        <w:ind w:left="6480" w:hanging="360"/>
      </w:pPr>
      <w:rPr>
        <w:rFonts w:ascii="Courier New" w:hAnsi="Courier New" w:cs="Courier New" w:hint="default"/>
      </w:rPr>
    </w:lvl>
    <w:lvl w:ilvl="8" w:tplc="C8E20FFE" w:tentative="1">
      <w:start w:val="1"/>
      <w:numFmt w:val="bullet"/>
      <w:lvlText w:val=""/>
      <w:lvlJc w:val="left"/>
      <w:pPr>
        <w:ind w:left="7200" w:hanging="360"/>
      </w:pPr>
      <w:rPr>
        <w:rFonts w:ascii="Wingdings" w:hAnsi="Wingdings" w:hint="default"/>
      </w:rPr>
    </w:lvl>
  </w:abstractNum>
  <w:abstractNum w:abstractNumId="32" w15:restartNumberingAfterBreak="0">
    <w:nsid w:val="55CB0AF0"/>
    <w:multiLevelType w:val="hybridMultilevel"/>
    <w:tmpl w:val="EB98B43A"/>
    <w:lvl w:ilvl="0" w:tplc="A5BCBBA0">
      <w:start w:val="1"/>
      <w:numFmt w:val="decimal"/>
      <w:pStyle w:val="LongQuestionPara"/>
      <w:lvlText w:val="%1."/>
      <w:lvlJc w:val="left"/>
      <w:pPr>
        <w:ind w:left="360" w:hanging="360"/>
      </w:pPr>
      <w:rPr>
        <w:rFonts w:hint="default"/>
        <w:b/>
        <w:i w:val="0"/>
        <w:color w:val="000000"/>
        <w:sz w:val="24"/>
      </w:rPr>
    </w:lvl>
    <w:lvl w:ilvl="1" w:tplc="A3128A88" w:tentative="1">
      <w:start w:val="1"/>
      <w:numFmt w:val="lowerLetter"/>
      <w:lvlText w:val="%2."/>
      <w:lvlJc w:val="left"/>
      <w:pPr>
        <w:ind w:left="1440" w:hanging="360"/>
      </w:pPr>
    </w:lvl>
    <w:lvl w:ilvl="2" w:tplc="1484683A" w:tentative="1">
      <w:start w:val="1"/>
      <w:numFmt w:val="lowerRoman"/>
      <w:lvlText w:val="%3."/>
      <w:lvlJc w:val="right"/>
      <w:pPr>
        <w:ind w:left="2160" w:hanging="180"/>
      </w:pPr>
    </w:lvl>
    <w:lvl w:ilvl="3" w:tplc="0FCED2CC" w:tentative="1">
      <w:start w:val="1"/>
      <w:numFmt w:val="decimal"/>
      <w:lvlText w:val="%4."/>
      <w:lvlJc w:val="left"/>
      <w:pPr>
        <w:ind w:left="2880" w:hanging="360"/>
      </w:pPr>
    </w:lvl>
    <w:lvl w:ilvl="4" w:tplc="82CEA2C6" w:tentative="1">
      <w:start w:val="1"/>
      <w:numFmt w:val="lowerLetter"/>
      <w:lvlText w:val="%5."/>
      <w:lvlJc w:val="left"/>
      <w:pPr>
        <w:ind w:left="3600" w:hanging="360"/>
      </w:pPr>
    </w:lvl>
    <w:lvl w:ilvl="5" w:tplc="F9F613A0" w:tentative="1">
      <w:start w:val="1"/>
      <w:numFmt w:val="lowerRoman"/>
      <w:lvlText w:val="%6."/>
      <w:lvlJc w:val="right"/>
      <w:pPr>
        <w:ind w:left="4320" w:hanging="180"/>
      </w:pPr>
    </w:lvl>
    <w:lvl w:ilvl="6" w:tplc="3558CDF6" w:tentative="1">
      <w:start w:val="1"/>
      <w:numFmt w:val="decimal"/>
      <w:lvlText w:val="%7."/>
      <w:lvlJc w:val="left"/>
      <w:pPr>
        <w:ind w:left="5040" w:hanging="360"/>
      </w:pPr>
    </w:lvl>
    <w:lvl w:ilvl="7" w:tplc="018A48E0" w:tentative="1">
      <w:start w:val="1"/>
      <w:numFmt w:val="lowerLetter"/>
      <w:lvlText w:val="%8."/>
      <w:lvlJc w:val="left"/>
      <w:pPr>
        <w:ind w:left="5760" w:hanging="360"/>
      </w:pPr>
    </w:lvl>
    <w:lvl w:ilvl="8" w:tplc="216EC932" w:tentative="1">
      <w:start w:val="1"/>
      <w:numFmt w:val="lowerRoman"/>
      <w:lvlText w:val="%9."/>
      <w:lvlJc w:val="right"/>
      <w:pPr>
        <w:ind w:left="6480" w:hanging="180"/>
      </w:pPr>
    </w:lvl>
  </w:abstractNum>
  <w:abstractNum w:abstractNumId="33"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rPr>
        <w:color w:val="000000"/>
      </w:r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D206610"/>
    <w:multiLevelType w:val="hybridMultilevel"/>
    <w:tmpl w:val="31700046"/>
    <w:lvl w:ilvl="0" w:tplc="719E5BBA">
      <w:start w:val="1"/>
      <w:numFmt w:val="lowerLetter"/>
      <w:lvlText w:val="(%1)"/>
      <w:lvlJc w:val="left"/>
      <w:pPr>
        <w:ind w:left="1440" w:hanging="360"/>
      </w:pPr>
      <w:rPr>
        <w:rFonts w:hint="default"/>
        <w:color w:val="000000"/>
      </w:rPr>
    </w:lvl>
    <w:lvl w:ilvl="1" w:tplc="58BED96C" w:tentative="1">
      <w:start w:val="1"/>
      <w:numFmt w:val="lowerLetter"/>
      <w:lvlText w:val="%2."/>
      <w:lvlJc w:val="left"/>
      <w:pPr>
        <w:ind w:left="2160" w:hanging="360"/>
      </w:pPr>
    </w:lvl>
    <w:lvl w:ilvl="2" w:tplc="C810C79C" w:tentative="1">
      <w:start w:val="1"/>
      <w:numFmt w:val="lowerRoman"/>
      <w:lvlText w:val="%3."/>
      <w:lvlJc w:val="right"/>
      <w:pPr>
        <w:ind w:left="2880" w:hanging="180"/>
      </w:pPr>
    </w:lvl>
    <w:lvl w:ilvl="3" w:tplc="413A9FFA" w:tentative="1">
      <w:start w:val="1"/>
      <w:numFmt w:val="decimal"/>
      <w:lvlText w:val="%4."/>
      <w:lvlJc w:val="left"/>
      <w:pPr>
        <w:ind w:left="3600" w:hanging="360"/>
      </w:pPr>
    </w:lvl>
    <w:lvl w:ilvl="4" w:tplc="DB70E43C" w:tentative="1">
      <w:start w:val="1"/>
      <w:numFmt w:val="lowerLetter"/>
      <w:lvlText w:val="%5."/>
      <w:lvlJc w:val="left"/>
      <w:pPr>
        <w:ind w:left="4320" w:hanging="360"/>
      </w:pPr>
    </w:lvl>
    <w:lvl w:ilvl="5" w:tplc="4C9C53B4" w:tentative="1">
      <w:start w:val="1"/>
      <w:numFmt w:val="lowerRoman"/>
      <w:lvlText w:val="%6."/>
      <w:lvlJc w:val="right"/>
      <w:pPr>
        <w:ind w:left="5040" w:hanging="180"/>
      </w:pPr>
    </w:lvl>
    <w:lvl w:ilvl="6" w:tplc="8F88C4C4" w:tentative="1">
      <w:start w:val="1"/>
      <w:numFmt w:val="decimal"/>
      <w:lvlText w:val="%7."/>
      <w:lvlJc w:val="left"/>
      <w:pPr>
        <w:ind w:left="5760" w:hanging="360"/>
      </w:pPr>
    </w:lvl>
    <w:lvl w:ilvl="7" w:tplc="11123C1A" w:tentative="1">
      <w:start w:val="1"/>
      <w:numFmt w:val="lowerLetter"/>
      <w:lvlText w:val="%8."/>
      <w:lvlJc w:val="left"/>
      <w:pPr>
        <w:ind w:left="6480" w:hanging="360"/>
      </w:pPr>
    </w:lvl>
    <w:lvl w:ilvl="8" w:tplc="17DA5EEA" w:tentative="1">
      <w:start w:val="1"/>
      <w:numFmt w:val="lowerRoman"/>
      <w:lvlText w:val="%9."/>
      <w:lvlJc w:val="right"/>
      <w:pPr>
        <w:ind w:left="7200" w:hanging="180"/>
      </w:pPr>
    </w:lvl>
  </w:abstractNum>
  <w:abstractNum w:abstractNumId="35" w15:restartNumberingAfterBreak="0">
    <w:nsid w:val="61071422"/>
    <w:multiLevelType w:val="hybridMultilevel"/>
    <w:tmpl w:val="59B858D8"/>
    <w:lvl w:ilvl="0" w:tplc="105CD806">
      <w:start w:val="1"/>
      <w:numFmt w:val="bullet"/>
      <w:pStyle w:val="ClauseBullet1"/>
      <w:lvlText w:val=""/>
      <w:lvlJc w:val="left"/>
      <w:pPr>
        <w:ind w:left="1080" w:hanging="360"/>
      </w:pPr>
      <w:rPr>
        <w:rFonts w:ascii="Symbol" w:hAnsi="Symbol" w:hint="default"/>
        <w:color w:val="000000"/>
      </w:rPr>
    </w:lvl>
    <w:lvl w:ilvl="1" w:tplc="ED2438F8" w:tentative="1">
      <w:start w:val="1"/>
      <w:numFmt w:val="bullet"/>
      <w:lvlText w:val="o"/>
      <w:lvlJc w:val="left"/>
      <w:pPr>
        <w:ind w:left="1800" w:hanging="360"/>
      </w:pPr>
      <w:rPr>
        <w:rFonts w:ascii="Courier New" w:hAnsi="Courier New" w:cs="Courier New" w:hint="default"/>
      </w:rPr>
    </w:lvl>
    <w:lvl w:ilvl="2" w:tplc="F412DB2C" w:tentative="1">
      <w:start w:val="1"/>
      <w:numFmt w:val="bullet"/>
      <w:lvlText w:val=""/>
      <w:lvlJc w:val="left"/>
      <w:pPr>
        <w:ind w:left="2520" w:hanging="360"/>
      </w:pPr>
      <w:rPr>
        <w:rFonts w:ascii="Wingdings" w:hAnsi="Wingdings" w:hint="default"/>
      </w:rPr>
    </w:lvl>
    <w:lvl w:ilvl="3" w:tplc="E88E30CA" w:tentative="1">
      <w:start w:val="1"/>
      <w:numFmt w:val="bullet"/>
      <w:lvlText w:val=""/>
      <w:lvlJc w:val="left"/>
      <w:pPr>
        <w:ind w:left="3240" w:hanging="360"/>
      </w:pPr>
      <w:rPr>
        <w:rFonts w:ascii="Symbol" w:hAnsi="Symbol" w:hint="default"/>
      </w:rPr>
    </w:lvl>
    <w:lvl w:ilvl="4" w:tplc="FD8A4328" w:tentative="1">
      <w:start w:val="1"/>
      <w:numFmt w:val="bullet"/>
      <w:lvlText w:val="o"/>
      <w:lvlJc w:val="left"/>
      <w:pPr>
        <w:ind w:left="3960" w:hanging="360"/>
      </w:pPr>
      <w:rPr>
        <w:rFonts w:ascii="Courier New" w:hAnsi="Courier New" w:cs="Courier New" w:hint="default"/>
      </w:rPr>
    </w:lvl>
    <w:lvl w:ilvl="5" w:tplc="C02CF830" w:tentative="1">
      <w:start w:val="1"/>
      <w:numFmt w:val="bullet"/>
      <w:lvlText w:val=""/>
      <w:lvlJc w:val="left"/>
      <w:pPr>
        <w:ind w:left="4680" w:hanging="360"/>
      </w:pPr>
      <w:rPr>
        <w:rFonts w:ascii="Wingdings" w:hAnsi="Wingdings" w:hint="default"/>
      </w:rPr>
    </w:lvl>
    <w:lvl w:ilvl="6" w:tplc="11E00418" w:tentative="1">
      <w:start w:val="1"/>
      <w:numFmt w:val="bullet"/>
      <w:lvlText w:val=""/>
      <w:lvlJc w:val="left"/>
      <w:pPr>
        <w:ind w:left="5400" w:hanging="360"/>
      </w:pPr>
      <w:rPr>
        <w:rFonts w:ascii="Symbol" w:hAnsi="Symbol" w:hint="default"/>
      </w:rPr>
    </w:lvl>
    <w:lvl w:ilvl="7" w:tplc="61020656" w:tentative="1">
      <w:start w:val="1"/>
      <w:numFmt w:val="bullet"/>
      <w:lvlText w:val="o"/>
      <w:lvlJc w:val="left"/>
      <w:pPr>
        <w:ind w:left="6120" w:hanging="360"/>
      </w:pPr>
      <w:rPr>
        <w:rFonts w:ascii="Courier New" w:hAnsi="Courier New" w:cs="Courier New" w:hint="default"/>
      </w:rPr>
    </w:lvl>
    <w:lvl w:ilvl="8" w:tplc="79A67BAA" w:tentative="1">
      <w:start w:val="1"/>
      <w:numFmt w:val="bullet"/>
      <w:lvlText w:val=""/>
      <w:lvlJc w:val="left"/>
      <w:pPr>
        <w:ind w:left="6840" w:hanging="360"/>
      </w:pPr>
      <w:rPr>
        <w:rFonts w:ascii="Wingdings" w:hAnsi="Wingdings" w:hint="default"/>
      </w:rPr>
    </w:lvl>
  </w:abstractNum>
  <w:abstractNum w:abstractNumId="36" w15:restartNumberingAfterBreak="0">
    <w:nsid w:val="642371CD"/>
    <w:multiLevelType w:val="hybridMultilevel"/>
    <w:tmpl w:val="3B76A654"/>
    <w:lvl w:ilvl="0" w:tplc="14903022">
      <w:start w:val="1"/>
      <w:numFmt w:val="bullet"/>
      <w:pStyle w:val="subclause3Bullet2"/>
      <w:lvlText w:val=""/>
      <w:lvlJc w:val="left"/>
      <w:pPr>
        <w:ind w:left="3748" w:hanging="360"/>
      </w:pPr>
      <w:rPr>
        <w:rFonts w:ascii="Symbol" w:hAnsi="Symbol" w:hint="default"/>
        <w:color w:val="000000"/>
      </w:rPr>
    </w:lvl>
    <w:lvl w:ilvl="1" w:tplc="01ACA2D6" w:tentative="1">
      <w:start w:val="1"/>
      <w:numFmt w:val="bullet"/>
      <w:lvlText w:val="o"/>
      <w:lvlJc w:val="left"/>
      <w:pPr>
        <w:ind w:left="4468" w:hanging="360"/>
      </w:pPr>
      <w:rPr>
        <w:rFonts w:ascii="Courier New" w:hAnsi="Courier New" w:cs="Courier New" w:hint="default"/>
      </w:rPr>
    </w:lvl>
    <w:lvl w:ilvl="2" w:tplc="8B6C4880" w:tentative="1">
      <w:start w:val="1"/>
      <w:numFmt w:val="bullet"/>
      <w:lvlText w:val=""/>
      <w:lvlJc w:val="left"/>
      <w:pPr>
        <w:ind w:left="5188" w:hanging="360"/>
      </w:pPr>
      <w:rPr>
        <w:rFonts w:ascii="Wingdings" w:hAnsi="Wingdings" w:hint="default"/>
      </w:rPr>
    </w:lvl>
    <w:lvl w:ilvl="3" w:tplc="D3D66D60" w:tentative="1">
      <w:start w:val="1"/>
      <w:numFmt w:val="bullet"/>
      <w:lvlText w:val=""/>
      <w:lvlJc w:val="left"/>
      <w:pPr>
        <w:ind w:left="5908" w:hanging="360"/>
      </w:pPr>
      <w:rPr>
        <w:rFonts w:ascii="Symbol" w:hAnsi="Symbol" w:hint="default"/>
      </w:rPr>
    </w:lvl>
    <w:lvl w:ilvl="4" w:tplc="765655B2" w:tentative="1">
      <w:start w:val="1"/>
      <w:numFmt w:val="bullet"/>
      <w:lvlText w:val="o"/>
      <w:lvlJc w:val="left"/>
      <w:pPr>
        <w:ind w:left="6628" w:hanging="360"/>
      </w:pPr>
      <w:rPr>
        <w:rFonts w:ascii="Courier New" w:hAnsi="Courier New" w:cs="Courier New" w:hint="default"/>
      </w:rPr>
    </w:lvl>
    <w:lvl w:ilvl="5" w:tplc="EC86519E" w:tentative="1">
      <w:start w:val="1"/>
      <w:numFmt w:val="bullet"/>
      <w:lvlText w:val=""/>
      <w:lvlJc w:val="left"/>
      <w:pPr>
        <w:ind w:left="7348" w:hanging="360"/>
      </w:pPr>
      <w:rPr>
        <w:rFonts w:ascii="Wingdings" w:hAnsi="Wingdings" w:hint="default"/>
      </w:rPr>
    </w:lvl>
    <w:lvl w:ilvl="6" w:tplc="83444D56" w:tentative="1">
      <w:start w:val="1"/>
      <w:numFmt w:val="bullet"/>
      <w:lvlText w:val=""/>
      <w:lvlJc w:val="left"/>
      <w:pPr>
        <w:ind w:left="8068" w:hanging="360"/>
      </w:pPr>
      <w:rPr>
        <w:rFonts w:ascii="Symbol" w:hAnsi="Symbol" w:hint="default"/>
      </w:rPr>
    </w:lvl>
    <w:lvl w:ilvl="7" w:tplc="29D432C0" w:tentative="1">
      <w:start w:val="1"/>
      <w:numFmt w:val="bullet"/>
      <w:lvlText w:val="o"/>
      <w:lvlJc w:val="left"/>
      <w:pPr>
        <w:ind w:left="8788" w:hanging="360"/>
      </w:pPr>
      <w:rPr>
        <w:rFonts w:ascii="Courier New" w:hAnsi="Courier New" w:cs="Courier New" w:hint="default"/>
      </w:rPr>
    </w:lvl>
    <w:lvl w:ilvl="8" w:tplc="7EFE6312" w:tentative="1">
      <w:start w:val="1"/>
      <w:numFmt w:val="bullet"/>
      <w:lvlText w:val=""/>
      <w:lvlJc w:val="left"/>
      <w:pPr>
        <w:ind w:left="9508" w:hanging="360"/>
      </w:pPr>
      <w:rPr>
        <w:rFonts w:ascii="Wingdings" w:hAnsi="Wingdings" w:hint="default"/>
      </w:rPr>
    </w:lvl>
  </w:abstractNum>
  <w:abstractNum w:abstractNumId="37"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15:restartNumberingAfterBreak="0">
    <w:nsid w:val="6A14466B"/>
    <w:multiLevelType w:val="hybridMultilevel"/>
    <w:tmpl w:val="2402A666"/>
    <w:lvl w:ilvl="0" w:tplc="4CAEFF48">
      <w:start w:val="1"/>
      <w:numFmt w:val="bullet"/>
      <w:pStyle w:val="BulletList1"/>
      <w:lvlText w:val="·"/>
      <w:lvlJc w:val="left"/>
      <w:pPr>
        <w:tabs>
          <w:tab w:val="num" w:pos="360"/>
        </w:tabs>
        <w:ind w:left="360" w:hanging="360"/>
      </w:pPr>
      <w:rPr>
        <w:rFonts w:ascii="Symbol" w:hAnsi="Symbol" w:hint="default"/>
        <w:color w:val="000000"/>
      </w:rPr>
    </w:lvl>
    <w:lvl w:ilvl="1" w:tplc="00B43382" w:tentative="1">
      <w:start w:val="1"/>
      <w:numFmt w:val="bullet"/>
      <w:lvlText w:val="·"/>
      <w:lvlJc w:val="left"/>
      <w:pPr>
        <w:tabs>
          <w:tab w:val="num" w:pos="1440"/>
        </w:tabs>
        <w:ind w:left="1440" w:hanging="360"/>
      </w:pPr>
      <w:rPr>
        <w:rFonts w:ascii="Symbol" w:hAnsi="Symbol" w:hint="default"/>
      </w:rPr>
    </w:lvl>
    <w:lvl w:ilvl="2" w:tplc="4CDAA2DA" w:tentative="1">
      <w:start w:val="1"/>
      <w:numFmt w:val="bullet"/>
      <w:lvlText w:val="·"/>
      <w:lvlJc w:val="left"/>
      <w:pPr>
        <w:tabs>
          <w:tab w:val="num" w:pos="2160"/>
        </w:tabs>
        <w:ind w:left="2160" w:hanging="360"/>
      </w:pPr>
      <w:rPr>
        <w:rFonts w:ascii="Symbol" w:hAnsi="Symbol" w:hint="default"/>
      </w:rPr>
    </w:lvl>
    <w:lvl w:ilvl="3" w:tplc="F58EC96A" w:tentative="1">
      <w:start w:val="1"/>
      <w:numFmt w:val="bullet"/>
      <w:lvlText w:val="·"/>
      <w:lvlJc w:val="left"/>
      <w:pPr>
        <w:tabs>
          <w:tab w:val="num" w:pos="2880"/>
        </w:tabs>
        <w:ind w:left="2880" w:hanging="360"/>
      </w:pPr>
      <w:rPr>
        <w:rFonts w:ascii="Symbol" w:hAnsi="Symbol" w:hint="default"/>
      </w:rPr>
    </w:lvl>
    <w:lvl w:ilvl="4" w:tplc="6550427E" w:tentative="1">
      <w:start w:val="1"/>
      <w:numFmt w:val="bullet"/>
      <w:lvlText w:val="o"/>
      <w:lvlJc w:val="left"/>
      <w:pPr>
        <w:tabs>
          <w:tab w:val="num" w:pos="3600"/>
        </w:tabs>
        <w:ind w:left="3600" w:hanging="360"/>
      </w:pPr>
      <w:rPr>
        <w:rFonts w:ascii="Courier New" w:hAnsi="Courier New" w:hint="default"/>
      </w:rPr>
    </w:lvl>
    <w:lvl w:ilvl="5" w:tplc="4FB2C9E8" w:tentative="1">
      <w:start w:val="1"/>
      <w:numFmt w:val="bullet"/>
      <w:lvlText w:val="§"/>
      <w:lvlJc w:val="left"/>
      <w:pPr>
        <w:tabs>
          <w:tab w:val="num" w:pos="4320"/>
        </w:tabs>
        <w:ind w:left="4320" w:hanging="360"/>
      </w:pPr>
      <w:rPr>
        <w:rFonts w:ascii="Wingdings" w:hAnsi="Wingdings" w:hint="default"/>
      </w:rPr>
    </w:lvl>
    <w:lvl w:ilvl="6" w:tplc="4394ED92" w:tentative="1">
      <w:start w:val="1"/>
      <w:numFmt w:val="bullet"/>
      <w:lvlText w:val="·"/>
      <w:lvlJc w:val="left"/>
      <w:pPr>
        <w:tabs>
          <w:tab w:val="num" w:pos="5040"/>
        </w:tabs>
        <w:ind w:left="5040" w:hanging="360"/>
      </w:pPr>
      <w:rPr>
        <w:rFonts w:ascii="Symbol" w:hAnsi="Symbol" w:hint="default"/>
      </w:rPr>
    </w:lvl>
    <w:lvl w:ilvl="7" w:tplc="90BACDA6" w:tentative="1">
      <w:start w:val="1"/>
      <w:numFmt w:val="bullet"/>
      <w:lvlText w:val="o"/>
      <w:lvlJc w:val="left"/>
      <w:pPr>
        <w:tabs>
          <w:tab w:val="num" w:pos="5760"/>
        </w:tabs>
        <w:ind w:left="5760" w:hanging="360"/>
      </w:pPr>
      <w:rPr>
        <w:rFonts w:ascii="Courier New" w:hAnsi="Courier New" w:hint="default"/>
      </w:rPr>
    </w:lvl>
    <w:lvl w:ilvl="8" w:tplc="05DAF96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4256F74"/>
    <w:multiLevelType w:val="multilevel"/>
    <w:tmpl w:val="1FE4E736"/>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3" w15:restartNumberingAfterBreak="0">
    <w:nsid w:val="78C31C79"/>
    <w:multiLevelType w:val="hybridMultilevel"/>
    <w:tmpl w:val="0BBA56BC"/>
    <w:lvl w:ilvl="0" w:tplc="393862F2">
      <w:start w:val="1"/>
      <w:numFmt w:val="decimal"/>
      <w:lvlText w:val="%1."/>
      <w:lvlJc w:val="left"/>
      <w:pPr>
        <w:ind w:left="1440" w:hanging="360"/>
      </w:pPr>
      <w:rPr>
        <w:color w:val="000000"/>
      </w:rPr>
    </w:lvl>
    <w:lvl w:ilvl="1" w:tplc="4A5C1F5C" w:tentative="1">
      <w:start w:val="1"/>
      <w:numFmt w:val="lowerLetter"/>
      <w:lvlText w:val="%2."/>
      <w:lvlJc w:val="left"/>
      <w:pPr>
        <w:ind w:left="2160" w:hanging="360"/>
      </w:pPr>
    </w:lvl>
    <w:lvl w:ilvl="2" w:tplc="5B542C50" w:tentative="1">
      <w:start w:val="1"/>
      <w:numFmt w:val="lowerRoman"/>
      <w:lvlText w:val="%3."/>
      <w:lvlJc w:val="right"/>
      <w:pPr>
        <w:ind w:left="2880" w:hanging="180"/>
      </w:pPr>
    </w:lvl>
    <w:lvl w:ilvl="3" w:tplc="6010B22A" w:tentative="1">
      <w:start w:val="1"/>
      <w:numFmt w:val="decimal"/>
      <w:lvlText w:val="%4."/>
      <w:lvlJc w:val="left"/>
      <w:pPr>
        <w:ind w:left="3600" w:hanging="360"/>
      </w:pPr>
    </w:lvl>
    <w:lvl w:ilvl="4" w:tplc="790C5B7A" w:tentative="1">
      <w:start w:val="1"/>
      <w:numFmt w:val="lowerLetter"/>
      <w:lvlText w:val="%5."/>
      <w:lvlJc w:val="left"/>
      <w:pPr>
        <w:ind w:left="4320" w:hanging="360"/>
      </w:pPr>
    </w:lvl>
    <w:lvl w:ilvl="5" w:tplc="AF3639C2" w:tentative="1">
      <w:start w:val="1"/>
      <w:numFmt w:val="lowerRoman"/>
      <w:lvlText w:val="%6."/>
      <w:lvlJc w:val="right"/>
      <w:pPr>
        <w:ind w:left="5040" w:hanging="180"/>
      </w:pPr>
    </w:lvl>
    <w:lvl w:ilvl="6" w:tplc="3B58EC72" w:tentative="1">
      <w:start w:val="1"/>
      <w:numFmt w:val="decimal"/>
      <w:lvlText w:val="%7."/>
      <w:lvlJc w:val="left"/>
      <w:pPr>
        <w:ind w:left="5760" w:hanging="360"/>
      </w:pPr>
    </w:lvl>
    <w:lvl w:ilvl="7" w:tplc="66DEEBB2" w:tentative="1">
      <w:start w:val="1"/>
      <w:numFmt w:val="lowerLetter"/>
      <w:lvlText w:val="%8."/>
      <w:lvlJc w:val="left"/>
      <w:pPr>
        <w:ind w:left="6480" w:hanging="360"/>
      </w:pPr>
    </w:lvl>
    <w:lvl w:ilvl="8" w:tplc="A0DEFA16" w:tentative="1">
      <w:start w:val="1"/>
      <w:numFmt w:val="lowerRoman"/>
      <w:lvlText w:val="%9."/>
      <w:lvlJc w:val="right"/>
      <w:pPr>
        <w:ind w:left="7200" w:hanging="180"/>
      </w:pPr>
    </w:lvl>
  </w:abstractNum>
  <w:abstractNum w:abstractNumId="44" w15:restartNumberingAfterBreak="0">
    <w:nsid w:val="7DB5644F"/>
    <w:multiLevelType w:val="hybridMultilevel"/>
    <w:tmpl w:val="8BCC9C08"/>
    <w:lvl w:ilvl="0" w:tplc="74848F10">
      <w:start w:val="1"/>
      <w:numFmt w:val="bullet"/>
      <w:pStyle w:val="BulletList3"/>
      <w:lvlText w:val=""/>
      <w:lvlJc w:val="left"/>
      <w:pPr>
        <w:tabs>
          <w:tab w:val="num" w:pos="1945"/>
        </w:tabs>
        <w:ind w:left="1945" w:hanging="357"/>
      </w:pPr>
      <w:rPr>
        <w:rFonts w:ascii="Symbol" w:hAnsi="Symbol" w:hint="default"/>
        <w:color w:val="000000"/>
      </w:rPr>
    </w:lvl>
    <w:lvl w:ilvl="1" w:tplc="ED8A571C" w:tentative="1">
      <w:start w:val="1"/>
      <w:numFmt w:val="bullet"/>
      <w:lvlText w:val="o"/>
      <w:lvlJc w:val="left"/>
      <w:pPr>
        <w:tabs>
          <w:tab w:val="num" w:pos="1440"/>
        </w:tabs>
        <w:ind w:left="1440" w:hanging="360"/>
      </w:pPr>
      <w:rPr>
        <w:rFonts w:ascii="Courier New" w:hAnsi="Courier New" w:cs="Courier New" w:hint="default"/>
      </w:rPr>
    </w:lvl>
    <w:lvl w:ilvl="2" w:tplc="26A00EEE" w:tentative="1">
      <w:start w:val="1"/>
      <w:numFmt w:val="bullet"/>
      <w:lvlText w:val=""/>
      <w:lvlJc w:val="left"/>
      <w:pPr>
        <w:tabs>
          <w:tab w:val="num" w:pos="2160"/>
        </w:tabs>
        <w:ind w:left="2160" w:hanging="360"/>
      </w:pPr>
      <w:rPr>
        <w:rFonts w:ascii="Wingdings" w:hAnsi="Wingdings" w:hint="default"/>
      </w:rPr>
    </w:lvl>
    <w:lvl w:ilvl="3" w:tplc="38683D18" w:tentative="1">
      <w:start w:val="1"/>
      <w:numFmt w:val="bullet"/>
      <w:lvlText w:val=""/>
      <w:lvlJc w:val="left"/>
      <w:pPr>
        <w:tabs>
          <w:tab w:val="num" w:pos="2880"/>
        </w:tabs>
        <w:ind w:left="2880" w:hanging="360"/>
      </w:pPr>
      <w:rPr>
        <w:rFonts w:ascii="Symbol" w:hAnsi="Symbol" w:hint="default"/>
      </w:rPr>
    </w:lvl>
    <w:lvl w:ilvl="4" w:tplc="39943D0E" w:tentative="1">
      <w:start w:val="1"/>
      <w:numFmt w:val="bullet"/>
      <w:lvlText w:val="o"/>
      <w:lvlJc w:val="left"/>
      <w:pPr>
        <w:tabs>
          <w:tab w:val="num" w:pos="3600"/>
        </w:tabs>
        <w:ind w:left="3600" w:hanging="360"/>
      </w:pPr>
      <w:rPr>
        <w:rFonts w:ascii="Courier New" w:hAnsi="Courier New" w:cs="Courier New" w:hint="default"/>
      </w:rPr>
    </w:lvl>
    <w:lvl w:ilvl="5" w:tplc="92BE0BFE" w:tentative="1">
      <w:start w:val="1"/>
      <w:numFmt w:val="bullet"/>
      <w:lvlText w:val=""/>
      <w:lvlJc w:val="left"/>
      <w:pPr>
        <w:tabs>
          <w:tab w:val="num" w:pos="4320"/>
        </w:tabs>
        <w:ind w:left="4320" w:hanging="360"/>
      </w:pPr>
      <w:rPr>
        <w:rFonts w:ascii="Wingdings" w:hAnsi="Wingdings" w:hint="default"/>
      </w:rPr>
    </w:lvl>
    <w:lvl w:ilvl="6" w:tplc="4C548B10" w:tentative="1">
      <w:start w:val="1"/>
      <w:numFmt w:val="bullet"/>
      <w:lvlText w:val=""/>
      <w:lvlJc w:val="left"/>
      <w:pPr>
        <w:tabs>
          <w:tab w:val="num" w:pos="5040"/>
        </w:tabs>
        <w:ind w:left="5040" w:hanging="360"/>
      </w:pPr>
      <w:rPr>
        <w:rFonts w:ascii="Symbol" w:hAnsi="Symbol" w:hint="default"/>
      </w:rPr>
    </w:lvl>
    <w:lvl w:ilvl="7" w:tplc="8A5080C6" w:tentative="1">
      <w:start w:val="1"/>
      <w:numFmt w:val="bullet"/>
      <w:lvlText w:val="o"/>
      <w:lvlJc w:val="left"/>
      <w:pPr>
        <w:tabs>
          <w:tab w:val="num" w:pos="5760"/>
        </w:tabs>
        <w:ind w:left="5760" w:hanging="360"/>
      </w:pPr>
      <w:rPr>
        <w:rFonts w:ascii="Courier New" w:hAnsi="Courier New" w:cs="Courier New" w:hint="default"/>
      </w:rPr>
    </w:lvl>
    <w:lvl w:ilvl="8" w:tplc="BB5E9904" w:tentative="1">
      <w:start w:val="1"/>
      <w:numFmt w:val="bullet"/>
      <w:lvlText w:val=""/>
      <w:lvlJc w:val="left"/>
      <w:pPr>
        <w:tabs>
          <w:tab w:val="num" w:pos="6480"/>
        </w:tabs>
        <w:ind w:left="6480" w:hanging="360"/>
      </w:pPr>
      <w:rPr>
        <w:rFonts w:ascii="Wingdings" w:hAnsi="Wingdings" w:hint="default"/>
      </w:rPr>
    </w:lvl>
  </w:abstractNum>
  <w:num w:numId="1" w16cid:durableId="1230576450">
    <w:abstractNumId w:val="37"/>
  </w:num>
  <w:num w:numId="2" w16cid:durableId="1098064583">
    <w:abstractNumId w:val="38"/>
  </w:num>
  <w:num w:numId="3" w16cid:durableId="1311446837">
    <w:abstractNumId w:val="23"/>
  </w:num>
  <w:num w:numId="4" w16cid:durableId="1107309283">
    <w:abstractNumId w:val="44"/>
  </w:num>
  <w:num w:numId="5" w16cid:durableId="1689671620">
    <w:abstractNumId w:val="41"/>
  </w:num>
  <w:num w:numId="6" w16cid:durableId="1293832221">
    <w:abstractNumId w:val="16"/>
  </w:num>
  <w:num w:numId="7" w16cid:durableId="30426083">
    <w:abstractNumId w:val="25"/>
  </w:num>
  <w:num w:numId="8" w16cid:durableId="1959407724">
    <w:abstractNumId w:val="24"/>
  </w:num>
  <w:num w:numId="9" w16cid:durableId="1412892293">
    <w:abstractNumId w:val="21"/>
  </w:num>
  <w:num w:numId="10" w16cid:durableId="1652825683">
    <w:abstractNumId w:val="33"/>
  </w:num>
  <w:num w:numId="11" w16cid:durableId="688724357">
    <w:abstractNumId w:val="19"/>
  </w:num>
  <w:num w:numId="12" w16cid:durableId="1225065360">
    <w:abstractNumId w:val="32"/>
  </w:num>
  <w:num w:numId="13" w16cid:durableId="728766750">
    <w:abstractNumId w:val="35"/>
  </w:num>
  <w:num w:numId="14" w16cid:durableId="1593471056">
    <w:abstractNumId w:val="26"/>
  </w:num>
  <w:num w:numId="15" w16cid:durableId="1297682902">
    <w:abstractNumId w:val="31"/>
  </w:num>
  <w:num w:numId="16" w16cid:durableId="1927036022">
    <w:abstractNumId w:val="29"/>
  </w:num>
  <w:num w:numId="17" w16cid:durableId="920286972">
    <w:abstractNumId w:val="30"/>
  </w:num>
  <w:num w:numId="18" w16cid:durableId="1647591210">
    <w:abstractNumId w:val="28"/>
  </w:num>
  <w:num w:numId="19" w16cid:durableId="1020474732">
    <w:abstractNumId w:val="22"/>
  </w:num>
  <w:num w:numId="20" w16cid:durableId="39600100">
    <w:abstractNumId w:val="36"/>
  </w:num>
  <w:num w:numId="21" w16cid:durableId="655887607">
    <w:abstractNumId w:val="11"/>
  </w:num>
  <w:num w:numId="22" w16cid:durableId="923339205">
    <w:abstractNumId w:val="14"/>
  </w:num>
  <w:num w:numId="23" w16cid:durableId="13988232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429101">
    <w:abstractNumId w:val="39"/>
  </w:num>
  <w:num w:numId="25" w16cid:durableId="383024329">
    <w:abstractNumId w:val="42"/>
  </w:num>
  <w:num w:numId="26" w16cid:durableId="374281547">
    <w:abstractNumId w:val="15"/>
  </w:num>
  <w:num w:numId="27" w16cid:durableId="653875966">
    <w:abstractNumId w:val="18"/>
  </w:num>
  <w:num w:numId="28" w16cid:durableId="1018892636">
    <w:abstractNumId w:val="34"/>
  </w:num>
  <w:num w:numId="29" w16cid:durableId="578176998">
    <w:abstractNumId w:val="9"/>
  </w:num>
  <w:num w:numId="30" w16cid:durableId="750203797">
    <w:abstractNumId w:val="7"/>
  </w:num>
  <w:num w:numId="31" w16cid:durableId="470752913">
    <w:abstractNumId w:val="6"/>
  </w:num>
  <w:num w:numId="32" w16cid:durableId="113444383">
    <w:abstractNumId w:val="5"/>
  </w:num>
  <w:num w:numId="33" w16cid:durableId="607129845">
    <w:abstractNumId w:val="4"/>
  </w:num>
  <w:num w:numId="34" w16cid:durableId="1370497253">
    <w:abstractNumId w:val="8"/>
  </w:num>
  <w:num w:numId="35" w16cid:durableId="246697662">
    <w:abstractNumId w:val="3"/>
  </w:num>
  <w:num w:numId="36" w16cid:durableId="1426653833">
    <w:abstractNumId w:val="2"/>
  </w:num>
  <w:num w:numId="37" w16cid:durableId="398788797">
    <w:abstractNumId w:val="1"/>
  </w:num>
  <w:num w:numId="38" w16cid:durableId="2110738779">
    <w:abstractNumId w:val="0"/>
  </w:num>
  <w:num w:numId="39" w16cid:durableId="19789935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4500048">
    <w:abstractNumId w:val="13"/>
  </w:num>
  <w:num w:numId="41" w16cid:durableId="2076463759">
    <w:abstractNumId w:val="10"/>
  </w:num>
  <w:num w:numId="42" w16cid:durableId="1388648837">
    <w:abstractNumId w:val="43"/>
  </w:num>
  <w:num w:numId="43" w16cid:durableId="812991169">
    <w:abstractNumId w:val="12"/>
  </w:num>
  <w:num w:numId="44" w16cid:durableId="348144346">
    <w:abstractNumId w:val="17"/>
  </w:num>
  <w:num w:numId="45" w16cid:durableId="246809453">
    <w:abstractNumId w:val="40"/>
  </w:num>
  <w:num w:numId="46" w16cid:durableId="136074417">
    <w:abstractNumId w:val="23"/>
  </w:num>
  <w:num w:numId="47" w16cid:durableId="2011759323">
    <w:abstractNumId w:val="27"/>
  </w:num>
  <w:num w:numId="48" w16cid:durableId="12880049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24543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70E8F35-EE23-40C4-8492-A126D6510194}"/>
    <w:docVar w:name="dgnword-eventsink" w:val="1811867851936"/>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6A32382E-DAA7-466F-88F2-896E8DE00B70}"/>
  </w:docVars>
  <w:rsids>
    <w:rsidRoot w:val="004A3082"/>
    <w:rsid w:val="000A7C78"/>
    <w:rsid w:val="000F7E99"/>
    <w:rsid w:val="001D3175"/>
    <w:rsid w:val="00215B52"/>
    <w:rsid w:val="002764D7"/>
    <w:rsid w:val="002A5381"/>
    <w:rsid w:val="00310529"/>
    <w:rsid w:val="003159C3"/>
    <w:rsid w:val="003175DE"/>
    <w:rsid w:val="003A4E23"/>
    <w:rsid w:val="003A50E9"/>
    <w:rsid w:val="003B2EBC"/>
    <w:rsid w:val="0041766D"/>
    <w:rsid w:val="004A3082"/>
    <w:rsid w:val="00507ED8"/>
    <w:rsid w:val="00554F33"/>
    <w:rsid w:val="005609CE"/>
    <w:rsid w:val="005B6092"/>
    <w:rsid w:val="006F7352"/>
    <w:rsid w:val="00757764"/>
    <w:rsid w:val="00785D23"/>
    <w:rsid w:val="00822961"/>
    <w:rsid w:val="00851DB6"/>
    <w:rsid w:val="00865390"/>
    <w:rsid w:val="00871CF0"/>
    <w:rsid w:val="00932321"/>
    <w:rsid w:val="00961EE3"/>
    <w:rsid w:val="0096278E"/>
    <w:rsid w:val="009C6C64"/>
    <w:rsid w:val="00A90BBE"/>
    <w:rsid w:val="00A95100"/>
    <w:rsid w:val="00B10855"/>
    <w:rsid w:val="00B13462"/>
    <w:rsid w:val="00B731BB"/>
    <w:rsid w:val="00C43C92"/>
    <w:rsid w:val="00C95165"/>
    <w:rsid w:val="00CC340A"/>
    <w:rsid w:val="00D44A8B"/>
    <w:rsid w:val="00D56463"/>
    <w:rsid w:val="00DD42B2"/>
    <w:rsid w:val="00DF7C0B"/>
    <w:rsid w:val="00F10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05BD"/>
  <w15:docId w15:val="{EA3690C7-C11C-4C3A-8A85-4C40F60C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100"/>
    <w:pPr>
      <w:spacing w:after="160" w:line="259" w:lineRule="auto"/>
    </w:pPr>
    <w:rPr>
      <w:rFonts w:eastAsiaTheme="minorHAnsi"/>
      <w:kern w:val="2"/>
      <w:lang w:eastAsia="en-US"/>
      <w14:ligatures w14:val="standardContextual"/>
    </w:rPr>
  </w:style>
  <w:style w:type="paragraph" w:styleId="Heading1">
    <w:name w:val="heading 1"/>
    <w:basedOn w:val="Normal"/>
    <w:next w:val="Normal"/>
    <w:link w:val="Heading1Char"/>
    <w:uiPriority w:val="9"/>
    <w:qFormat/>
    <w:rsid w:val="001663AA"/>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1663AA"/>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1663AA"/>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1663AA"/>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1663AA"/>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1663AA"/>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1663AA"/>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1663AA"/>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1663AA"/>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A951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5100"/>
  </w:style>
  <w:style w:type="paragraph" w:customStyle="1" w:styleId="Abstract">
    <w:name w:val="Abstract"/>
    <w:link w:val="AbstractChar"/>
    <w:rsid w:val="001663AA"/>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1663AA"/>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1663AA"/>
    <w:pPr>
      <w:numPr>
        <w:numId w:val="11"/>
      </w:numPr>
      <w:spacing w:before="240" w:after="240"/>
      <w:ind w:left="0" w:firstLine="0"/>
    </w:pPr>
    <w:rPr>
      <w:b/>
    </w:rPr>
  </w:style>
  <w:style w:type="paragraph" w:customStyle="1" w:styleId="AuthoringGroup">
    <w:name w:val="Authoring Group"/>
    <w:link w:val="AuthoringGroupChar"/>
    <w:rsid w:val="001663AA"/>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1663AA"/>
    <w:rPr>
      <w:rFonts w:ascii="Arial" w:eastAsia="Arial Unicode MS" w:hAnsi="Arial" w:cs="Arial"/>
      <w:color w:val="000000"/>
      <w:sz w:val="24"/>
      <w:lang w:val="en-US" w:eastAsia="en-US"/>
    </w:rPr>
  </w:style>
  <w:style w:type="paragraph" w:customStyle="1" w:styleId="Background">
    <w:name w:val="Background"/>
    <w:aliases w:val="(A) Background"/>
    <w:basedOn w:val="Normal"/>
    <w:rsid w:val="001663AA"/>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1663AA"/>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1663AA"/>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1663AA"/>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1663AA"/>
    <w:pPr>
      <w:keepNext/>
      <w:numPr>
        <w:numId w:val="23"/>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1663AA"/>
    <w:rPr>
      <w:b w:val="0"/>
      <w:smallCaps/>
    </w:rPr>
  </w:style>
  <w:style w:type="paragraph" w:customStyle="1" w:styleId="ClosingPara">
    <w:name w:val="Closing Para"/>
    <w:basedOn w:val="Normal"/>
    <w:rsid w:val="001663AA"/>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1663AA"/>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1663AA"/>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1663AA"/>
  </w:style>
  <w:style w:type="paragraph" w:customStyle="1" w:styleId="CoverSheetSubjectText">
    <w:name w:val="Cover Sheet Subject Text"/>
    <w:basedOn w:val="Normal"/>
    <w:rsid w:val="001663AA"/>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1663AA"/>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1663AA"/>
    <w:pPr>
      <w:numPr>
        <w:numId w:val="24"/>
      </w:numPr>
    </w:pPr>
  </w:style>
  <w:style w:type="paragraph" w:customStyle="1" w:styleId="DescriptiveHeading">
    <w:name w:val="DescriptiveHeading"/>
    <w:next w:val="Paragraph"/>
    <w:link w:val="DescriptiveHeadingChar"/>
    <w:rsid w:val="001663AA"/>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1663AA"/>
    <w:rPr>
      <w:rFonts w:ascii="Arial" w:eastAsia="Arial Unicode MS" w:hAnsi="Arial" w:cs="Arial"/>
      <w:b/>
      <w:color w:val="000000"/>
      <w:lang w:val="en-US" w:eastAsia="en-US"/>
    </w:rPr>
  </w:style>
  <w:style w:type="paragraph" w:customStyle="1" w:styleId="DraftingnoteSection1Para">
    <w:name w:val="Draftingnote Section1 Para"/>
    <w:basedOn w:val="Normal"/>
    <w:rsid w:val="001663AA"/>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1663AA"/>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1663AA"/>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1663AA"/>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1663AA"/>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1663AA"/>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1663AA"/>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1663AA"/>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1663AA"/>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1663AA"/>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1663AA"/>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1663AA"/>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1663AA"/>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1663AA"/>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1663AA"/>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1663AA"/>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1663AA"/>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1663AA"/>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1663AA"/>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1663AA"/>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1663AA"/>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1663AA"/>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1663AA"/>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1663AA"/>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1663AA"/>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1663AA"/>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1663AA"/>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1663AA"/>
    <w:rPr>
      <w:rFonts w:ascii="Arial" w:eastAsia="Arial Unicode MS" w:hAnsi="Arial" w:cs="Arial"/>
      <w:color w:val="000000"/>
      <w:sz w:val="24"/>
      <w:lang w:val="en-US" w:eastAsia="en-US"/>
    </w:rPr>
  </w:style>
  <w:style w:type="paragraph" w:customStyle="1" w:styleId="MaintenanceEditor">
    <w:name w:val="Maintenance Editor"/>
    <w:link w:val="MaintenanceEditorChar"/>
    <w:rsid w:val="001663AA"/>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1663AA"/>
    <w:rPr>
      <w:rFonts w:ascii="Arial" w:eastAsia="Arial Unicode MS" w:hAnsi="Arial" w:cs="Arial"/>
      <w:color w:val="000000"/>
      <w:sz w:val="24"/>
      <w:lang w:val="en-US" w:eastAsia="en-US"/>
    </w:rPr>
  </w:style>
  <w:style w:type="paragraph" w:customStyle="1" w:styleId="ParaClause">
    <w:name w:val="Para Clause"/>
    <w:basedOn w:val="Normal"/>
    <w:rsid w:val="001663AA"/>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1663AA"/>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1663AA"/>
    <w:pPr>
      <w:numPr>
        <w:ilvl w:val="1"/>
        <w:numId w:val="23"/>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1663AA"/>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1663AA"/>
    <w:pPr>
      <w:numPr>
        <w:ilvl w:val="2"/>
        <w:numId w:val="23"/>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1663AA"/>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1663AA"/>
    <w:pPr>
      <w:numPr>
        <w:ilvl w:val="3"/>
        <w:numId w:val="23"/>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1663AA"/>
    <w:pPr>
      <w:spacing w:after="240"/>
      <w:ind w:left="3028"/>
    </w:pPr>
  </w:style>
  <w:style w:type="paragraph" w:customStyle="1" w:styleId="Untitledsubclause4">
    <w:name w:val="Untitled subclause 4"/>
    <w:basedOn w:val="Normal"/>
    <w:rsid w:val="001663AA"/>
    <w:pPr>
      <w:numPr>
        <w:ilvl w:val="4"/>
        <w:numId w:val="23"/>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1663AA"/>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1663AA"/>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1663AA"/>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1663AA"/>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1663AA"/>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1663AA"/>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1663AA"/>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1663AA"/>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1663AA"/>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1663AA"/>
    <w:rPr>
      <w:rFonts w:ascii="Arial" w:eastAsia="Arial Unicode MS" w:hAnsi="Arial" w:cs="Arial"/>
      <w:b/>
      <w:bCs/>
      <w:color w:val="000000"/>
      <w:sz w:val="24"/>
      <w:lang w:val="en-US" w:eastAsia="en-US"/>
    </w:rPr>
  </w:style>
  <w:style w:type="paragraph" w:customStyle="1" w:styleId="ResourceType">
    <w:name w:val="Resource Type"/>
    <w:link w:val="ResourceTypeChar"/>
    <w:rsid w:val="001663AA"/>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1663AA"/>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1663AA"/>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1663AA"/>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1663AA"/>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1663AA"/>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1663AA"/>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1663AA"/>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1663AA"/>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1663AA"/>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1663AA"/>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1663AA"/>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1663AA"/>
    <w:rPr>
      <w:rFonts w:ascii="Arial" w:eastAsia="Arial Unicode MS" w:hAnsi="Arial" w:cs="Arial"/>
      <w:color w:val="000000"/>
      <w:sz w:val="24"/>
      <w:szCs w:val="24"/>
      <w:lang w:val="en-US" w:eastAsia="en-US"/>
    </w:rPr>
  </w:style>
  <w:style w:type="paragraph" w:styleId="Title">
    <w:name w:val="Title"/>
    <w:link w:val="TitleChar"/>
    <w:rsid w:val="001663AA"/>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1663AA"/>
    <w:rPr>
      <w:rFonts w:ascii="Arial" w:eastAsia="Arial Unicode MS" w:hAnsi="Arial" w:cs="Arial"/>
      <w:color w:val="000000"/>
      <w:sz w:val="24"/>
      <w:lang w:val="en-US" w:eastAsia="en-US"/>
    </w:rPr>
  </w:style>
  <w:style w:type="paragraph" w:styleId="Footer">
    <w:name w:val="footer"/>
    <w:basedOn w:val="Normal"/>
    <w:link w:val="FooterChar"/>
    <w:uiPriority w:val="99"/>
    <w:rsid w:val="001663AA"/>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uiPriority w:val="99"/>
    <w:rsid w:val="001663AA"/>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1663AA"/>
    <w:rPr>
      <w:i/>
      <w:color w:val="000000"/>
      <w:u w:val="single"/>
    </w:rPr>
  </w:style>
  <w:style w:type="paragraph" w:customStyle="1" w:styleId="Bullet4">
    <w:name w:val="Bullet4"/>
    <w:basedOn w:val="Normal"/>
    <w:rsid w:val="001663AA"/>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1663AA"/>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1663AA"/>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1663AA"/>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1663AA"/>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1663AA"/>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1663AA"/>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1663AA"/>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1663AA"/>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1663AA"/>
    <w:rPr>
      <w:color w:val="000000"/>
    </w:rPr>
  </w:style>
  <w:style w:type="character" w:styleId="PlaceholderText">
    <w:name w:val="Placeholder Text"/>
    <w:basedOn w:val="DefaultParagraphFont"/>
    <w:uiPriority w:val="99"/>
    <w:rsid w:val="001663AA"/>
    <w:rPr>
      <w:color w:val="000000"/>
    </w:rPr>
  </w:style>
  <w:style w:type="paragraph" w:styleId="BalloonText">
    <w:name w:val="Balloon Text"/>
    <w:basedOn w:val="Normal"/>
    <w:link w:val="BalloonTextChar"/>
    <w:uiPriority w:val="99"/>
    <w:semiHidden/>
    <w:unhideWhenUsed/>
    <w:rsid w:val="001663AA"/>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1663AA"/>
    <w:rPr>
      <w:rFonts w:ascii="Tahoma" w:hAnsi="Tahoma" w:cs="Tahoma"/>
      <w:color w:val="000000"/>
      <w:sz w:val="16"/>
      <w:szCs w:val="16"/>
    </w:rPr>
  </w:style>
  <w:style w:type="paragraph" w:customStyle="1" w:styleId="PinPointRef">
    <w:name w:val="PinPoint Ref"/>
    <w:link w:val="PinPointRefChar"/>
    <w:qFormat/>
    <w:rsid w:val="001663AA"/>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1663AA"/>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1663AA"/>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1663AA"/>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1663AA"/>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1663AA"/>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1663AA"/>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1663AA"/>
    <w:rPr>
      <w:rFonts w:ascii="Arial" w:eastAsia="Arial Unicode MS" w:hAnsi="Arial" w:cs="Arial"/>
      <w:color w:val="000000"/>
      <w:szCs w:val="24"/>
      <w:lang w:val="en-US" w:eastAsia="en-US"/>
    </w:rPr>
  </w:style>
  <w:style w:type="paragraph" w:customStyle="1" w:styleId="IntroDefault">
    <w:name w:val="Intro Default"/>
    <w:basedOn w:val="Paragraph"/>
    <w:qFormat/>
    <w:rsid w:val="001663AA"/>
  </w:style>
  <w:style w:type="paragraph" w:customStyle="1" w:styleId="IntroCustom">
    <w:name w:val="Intro Custom"/>
    <w:basedOn w:val="Paragraph"/>
    <w:qFormat/>
    <w:rsid w:val="001663AA"/>
  </w:style>
  <w:style w:type="paragraph" w:customStyle="1" w:styleId="PrecedentType">
    <w:name w:val="Precedent Type"/>
    <w:basedOn w:val="IgnoredSpacing"/>
    <w:qFormat/>
    <w:rsid w:val="001663AA"/>
  </w:style>
  <w:style w:type="paragraph" w:customStyle="1" w:styleId="Operative">
    <w:name w:val="Operative"/>
    <w:basedOn w:val="IgnoredSpacing"/>
    <w:qFormat/>
    <w:rsid w:val="001663AA"/>
    <w:rPr>
      <w:vanish/>
    </w:rPr>
  </w:style>
  <w:style w:type="paragraph" w:customStyle="1" w:styleId="SpeedreadBulletList1">
    <w:name w:val="Speedread Bullet List 1"/>
    <w:basedOn w:val="BulletList1"/>
    <w:qFormat/>
    <w:rsid w:val="001663AA"/>
  </w:style>
  <w:style w:type="paragraph" w:customStyle="1" w:styleId="PartiesTitle">
    <w:name w:val="Parties Title"/>
    <w:basedOn w:val="Paragraph"/>
    <w:qFormat/>
    <w:rsid w:val="001663AA"/>
    <w:rPr>
      <w:b/>
    </w:rPr>
  </w:style>
  <w:style w:type="table" w:styleId="TableGrid">
    <w:name w:val="Table Grid"/>
    <w:basedOn w:val="TableNormal"/>
    <w:rsid w:val="001663AA"/>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1663AA"/>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1663AA"/>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1663AA"/>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1663AA"/>
    <w:pPr>
      <w:shd w:val="clear" w:color="auto" w:fill="D9D9D9" w:themeFill="background1" w:themeFillShade="D9"/>
      <w:ind w:left="1077"/>
    </w:pPr>
  </w:style>
  <w:style w:type="paragraph" w:customStyle="1" w:styleId="TestimoniumContract">
    <w:name w:val="Testimonium Contract"/>
    <w:basedOn w:val="Paragraph"/>
    <w:qFormat/>
    <w:rsid w:val="001663AA"/>
  </w:style>
  <w:style w:type="paragraph" w:customStyle="1" w:styleId="TestimoniumDeed">
    <w:name w:val="Testimonium Deed"/>
    <w:basedOn w:val="Paragraph"/>
    <w:qFormat/>
    <w:rsid w:val="001663AA"/>
  </w:style>
  <w:style w:type="paragraph" w:customStyle="1" w:styleId="Titlesubclause2">
    <w:name w:val="Title subclause2"/>
    <w:basedOn w:val="Untitledsubclause2"/>
    <w:qFormat/>
    <w:rsid w:val="001663AA"/>
    <w:rPr>
      <w:b/>
    </w:rPr>
  </w:style>
  <w:style w:type="paragraph" w:customStyle="1" w:styleId="Titlesubclause3">
    <w:name w:val="Title subclause3"/>
    <w:basedOn w:val="Untitledsubclause3"/>
    <w:qFormat/>
    <w:rsid w:val="001663AA"/>
    <w:rPr>
      <w:b/>
    </w:rPr>
  </w:style>
  <w:style w:type="paragraph" w:customStyle="1" w:styleId="Titlesubclause4">
    <w:name w:val="Title subclause4"/>
    <w:basedOn w:val="Untitledsubclause4"/>
    <w:qFormat/>
    <w:rsid w:val="001663AA"/>
    <w:rPr>
      <w:b/>
    </w:rPr>
  </w:style>
  <w:style w:type="paragraph" w:customStyle="1" w:styleId="UntitledClause">
    <w:name w:val="Untitled Clause"/>
    <w:basedOn w:val="TitleClause"/>
    <w:qFormat/>
    <w:rsid w:val="001663AA"/>
    <w:pPr>
      <w:spacing w:before="120"/>
    </w:pPr>
    <w:rPr>
      <w:b w:val="0"/>
    </w:rPr>
  </w:style>
  <w:style w:type="paragraph" w:customStyle="1" w:styleId="Titlesubclause1">
    <w:name w:val="Title subclause1"/>
    <w:basedOn w:val="Untitledsubclause1"/>
    <w:qFormat/>
    <w:rsid w:val="001663AA"/>
    <w:pPr>
      <w:spacing w:before="120"/>
    </w:pPr>
    <w:rPr>
      <w:b/>
    </w:rPr>
  </w:style>
  <w:style w:type="paragraph" w:customStyle="1" w:styleId="Schedule">
    <w:name w:val="Schedule"/>
    <w:qFormat/>
    <w:rsid w:val="001663AA"/>
    <w:pPr>
      <w:numPr>
        <w:numId w:val="22"/>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1663AA"/>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1663AA"/>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1663AA"/>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1663AA"/>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1663AA"/>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1663AA"/>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1663AA"/>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1663AA"/>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1663AA"/>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1663AA"/>
    <w:rPr>
      <w:b/>
    </w:rPr>
  </w:style>
  <w:style w:type="paragraph" w:customStyle="1" w:styleId="Part">
    <w:name w:val="Part"/>
    <w:basedOn w:val="Paragraph"/>
    <w:qFormat/>
    <w:rsid w:val="001663AA"/>
    <w:pPr>
      <w:numPr>
        <w:ilvl w:val="1"/>
        <w:numId w:val="22"/>
      </w:numPr>
      <w:spacing w:before="240" w:after="240"/>
      <w:jc w:val="left"/>
    </w:pPr>
    <w:rPr>
      <w:b/>
    </w:rPr>
  </w:style>
  <w:style w:type="paragraph" w:customStyle="1" w:styleId="AnnexTitle">
    <w:name w:val="Annex Title"/>
    <w:basedOn w:val="Paragraph"/>
    <w:next w:val="Paragraph"/>
    <w:qFormat/>
    <w:rsid w:val="001663AA"/>
    <w:pPr>
      <w:spacing w:before="240" w:after="240"/>
    </w:pPr>
    <w:rPr>
      <w:b/>
    </w:rPr>
  </w:style>
  <w:style w:type="paragraph" w:customStyle="1" w:styleId="PartTitle">
    <w:name w:val="Part Title"/>
    <w:basedOn w:val="Paragraph"/>
    <w:qFormat/>
    <w:rsid w:val="001663AA"/>
    <w:rPr>
      <w:b/>
    </w:rPr>
  </w:style>
  <w:style w:type="paragraph" w:customStyle="1" w:styleId="Testimonium">
    <w:name w:val="Testimonium"/>
    <w:basedOn w:val="Paragraph"/>
    <w:qFormat/>
    <w:rsid w:val="001663AA"/>
  </w:style>
  <w:style w:type="character" w:customStyle="1" w:styleId="apple-converted-space">
    <w:name w:val="apple-converted-space"/>
    <w:basedOn w:val="DefaultParagraphFont"/>
    <w:rsid w:val="001663AA"/>
    <w:rPr>
      <w:color w:val="000000"/>
    </w:rPr>
  </w:style>
  <w:style w:type="character" w:styleId="Emphasis">
    <w:name w:val="Emphasis"/>
    <w:basedOn w:val="DefaultParagraphFont"/>
    <w:uiPriority w:val="20"/>
    <w:qFormat/>
    <w:rsid w:val="001663AA"/>
    <w:rPr>
      <w:i/>
      <w:iCs/>
      <w:color w:val="000000"/>
    </w:rPr>
  </w:style>
  <w:style w:type="paragraph" w:customStyle="1" w:styleId="NoNumTitle-Clause">
    <w:name w:val="No Num Title - Clause"/>
    <w:basedOn w:val="TitleClause"/>
    <w:qFormat/>
    <w:rsid w:val="001663AA"/>
    <w:pPr>
      <w:numPr>
        <w:numId w:val="0"/>
      </w:numPr>
      <w:ind w:left="720"/>
    </w:pPr>
  </w:style>
  <w:style w:type="paragraph" w:customStyle="1" w:styleId="NoNumTitlesubclause1">
    <w:name w:val="No Num Title subclause1"/>
    <w:basedOn w:val="Titlesubclause1"/>
    <w:qFormat/>
    <w:rsid w:val="001663AA"/>
    <w:pPr>
      <w:numPr>
        <w:ilvl w:val="0"/>
        <w:numId w:val="0"/>
      </w:numPr>
      <w:ind w:left="720"/>
    </w:pPr>
  </w:style>
  <w:style w:type="paragraph" w:customStyle="1" w:styleId="AddressLine">
    <w:name w:val="Address Line"/>
    <w:basedOn w:val="Paragraph"/>
    <w:qFormat/>
    <w:rsid w:val="001663AA"/>
  </w:style>
  <w:style w:type="paragraph" w:styleId="Date">
    <w:name w:val="Date"/>
    <w:basedOn w:val="Paragraph"/>
    <w:qFormat/>
    <w:rsid w:val="001663AA"/>
  </w:style>
  <w:style w:type="paragraph" w:customStyle="1" w:styleId="SalutationPara">
    <w:name w:val="Salutation Para"/>
    <w:basedOn w:val="Paragraph"/>
    <w:next w:val="Paragraph"/>
    <w:qFormat/>
    <w:rsid w:val="001663AA"/>
    <w:pPr>
      <w:spacing w:before="240"/>
    </w:pPr>
  </w:style>
  <w:style w:type="character" w:styleId="FollowedHyperlink">
    <w:name w:val="FollowedHyperlink"/>
    <w:basedOn w:val="DefaultParagraphFont"/>
    <w:uiPriority w:val="99"/>
    <w:semiHidden/>
    <w:unhideWhenUsed/>
    <w:rsid w:val="001663AA"/>
    <w:rPr>
      <w:i/>
      <w:color w:val="000000"/>
      <w:u w:val="single"/>
    </w:rPr>
  </w:style>
  <w:style w:type="character" w:customStyle="1" w:styleId="DefTerm">
    <w:name w:val="DefTerm"/>
    <w:basedOn w:val="DefaultParagraphFont"/>
    <w:uiPriority w:val="1"/>
    <w:qFormat/>
    <w:rsid w:val="001663AA"/>
    <w:rPr>
      <w:b/>
      <w:color w:val="000000"/>
    </w:rPr>
  </w:style>
  <w:style w:type="table" w:customStyle="1" w:styleId="ShadedTable">
    <w:name w:val="Shaded Table"/>
    <w:basedOn w:val="TableNormal"/>
    <w:uiPriority w:val="99"/>
    <w:rsid w:val="001663AA"/>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1663AA"/>
    <w:rPr>
      <w:i/>
    </w:rPr>
  </w:style>
  <w:style w:type="paragraph" w:customStyle="1" w:styleId="LetterTitle">
    <w:name w:val="Letter Title"/>
    <w:basedOn w:val="Paragraph"/>
    <w:qFormat/>
    <w:rsid w:val="001663AA"/>
    <w:rPr>
      <w:b/>
    </w:rPr>
  </w:style>
  <w:style w:type="paragraph" w:customStyle="1" w:styleId="LongQuestionPara">
    <w:name w:val="Long Question Para"/>
    <w:basedOn w:val="Paragraph"/>
    <w:link w:val="LongQuestionParaChar"/>
    <w:rsid w:val="001663AA"/>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1663AA"/>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1663AA"/>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1663AA"/>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1663AA"/>
    <w:rPr>
      <w:rFonts w:ascii="Arial" w:eastAsia="Arial Unicode MS" w:hAnsi="Arial" w:cs="Arial"/>
      <w:color w:val="000000"/>
      <w:szCs w:val="20"/>
      <w:lang w:eastAsia="en-US"/>
    </w:rPr>
  </w:style>
  <w:style w:type="paragraph" w:customStyle="1" w:styleId="811D3A974D454A258B71E3C4DE24C4F210">
    <w:name w:val="811D3A974D454A258B71E3C4DE24C4F210"/>
    <w:rsid w:val="002C3B64"/>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1663AA"/>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1663AA"/>
    <w:pPr>
      <w:jc w:val="center"/>
    </w:pPr>
    <w:rPr>
      <w:sz w:val="28"/>
    </w:rPr>
  </w:style>
  <w:style w:type="paragraph" w:customStyle="1" w:styleId="Title-Clause">
    <w:name w:val="Title - Clause"/>
    <w:aliases w:val="BIWS Heading 1"/>
    <w:basedOn w:val="Normal"/>
    <w:rsid w:val="001663AA"/>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1663AA"/>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1663AA"/>
    <w:pPr>
      <w:spacing w:before="120"/>
    </w:pPr>
    <w:rPr>
      <w:b w:val="0"/>
    </w:rPr>
  </w:style>
  <w:style w:type="paragraph" w:customStyle="1" w:styleId="CoversheetParagraph">
    <w:name w:val="Coversheet Paragraph"/>
    <w:basedOn w:val="Normal"/>
    <w:autoRedefine/>
    <w:rsid w:val="001663AA"/>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1663AA"/>
    <w:rPr>
      <w:smallCaps w:val="0"/>
      <w:sz w:val="22"/>
    </w:rPr>
  </w:style>
  <w:style w:type="paragraph" w:customStyle="1" w:styleId="CoversheetStaticText">
    <w:name w:val="Coversheet Static Text"/>
    <w:basedOn w:val="CoversheetIntro"/>
    <w:qFormat/>
    <w:rsid w:val="001663AA"/>
    <w:rPr>
      <w:b w:val="0"/>
    </w:rPr>
  </w:style>
  <w:style w:type="paragraph" w:customStyle="1" w:styleId="CoversheetParty">
    <w:name w:val="Coversheet Party"/>
    <w:basedOn w:val="CoversheetIntro"/>
    <w:qFormat/>
    <w:rsid w:val="001663AA"/>
  </w:style>
  <w:style w:type="paragraph" w:customStyle="1" w:styleId="NoNumUntitledClause">
    <w:name w:val="No Num Untitled Clause"/>
    <w:basedOn w:val="UntitledClause"/>
    <w:qFormat/>
    <w:rsid w:val="001663AA"/>
    <w:pPr>
      <w:numPr>
        <w:numId w:val="0"/>
      </w:numPr>
      <w:ind w:left="720"/>
    </w:pPr>
  </w:style>
  <w:style w:type="paragraph" w:customStyle="1" w:styleId="BackgroundSubclause1">
    <w:name w:val="Background Subclause1"/>
    <w:basedOn w:val="Background"/>
    <w:qFormat/>
    <w:rsid w:val="001663AA"/>
    <w:pPr>
      <w:numPr>
        <w:ilvl w:val="1"/>
      </w:numPr>
    </w:pPr>
  </w:style>
  <w:style w:type="paragraph" w:customStyle="1" w:styleId="BackgroundSubclause2">
    <w:name w:val="Background Subclause2"/>
    <w:basedOn w:val="Background"/>
    <w:qFormat/>
    <w:rsid w:val="001663AA"/>
    <w:pPr>
      <w:numPr>
        <w:ilvl w:val="3"/>
      </w:numPr>
    </w:pPr>
  </w:style>
  <w:style w:type="paragraph" w:customStyle="1" w:styleId="HeadingLevel2CQA">
    <w:name w:val="Heading Level 2 CQA"/>
    <w:basedOn w:val="HeadingLevel2"/>
    <w:qFormat/>
    <w:rsid w:val="001663AA"/>
  </w:style>
  <w:style w:type="paragraph" w:customStyle="1" w:styleId="ClauseBullet1">
    <w:name w:val="Clause Bullet 1"/>
    <w:basedOn w:val="ParaClause"/>
    <w:qFormat/>
    <w:rsid w:val="001663AA"/>
    <w:pPr>
      <w:numPr>
        <w:numId w:val="13"/>
      </w:numPr>
      <w:ind w:left="1077" w:hanging="357"/>
      <w:outlineLvl w:val="0"/>
    </w:pPr>
  </w:style>
  <w:style w:type="paragraph" w:customStyle="1" w:styleId="ClauseBullet2">
    <w:name w:val="Clause Bullet 2"/>
    <w:basedOn w:val="ParaClause"/>
    <w:qFormat/>
    <w:rsid w:val="001663AA"/>
    <w:pPr>
      <w:numPr>
        <w:numId w:val="14"/>
      </w:numPr>
      <w:ind w:left="1434" w:hanging="357"/>
      <w:outlineLvl w:val="1"/>
    </w:pPr>
  </w:style>
  <w:style w:type="paragraph" w:customStyle="1" w:styleId="subclause1Bullet1">
    <w:name w:val="subclause 1 Bullet 1"/>
    <w:basedOn w:val="Parasubclause1"/>
    <w:qFormat/>
    <w:rsid w:val="001663AA"/>
    <w:pPr>
      <w:numPr>
        <w:numId w:val="15"/>
      </w:numPr>
      <w:ind w:left="1077" w:hanging="357"/>
    </w:pPr>
  </w:style>
  <w:style w:type="paragraph" w:customStyle="1" w:styleId="subclause2Bullet1">
    <w:name w:val="subclause 2 Bullet 1"/>
    <w:basedOn w:val="Parasubclause2"/>
    <w:qFormat/>
    <w:rsid w:val="001663AA"/>
    <w:pPr>
      <w:numPr>
        <w:numId w:val="17"/>
      </w:numPr>
      <w:ind w:left="1434" w:hanging="357"/>
    </w:pPr>
  </w:style>
  <w:style w:type="paragraph" w:customStyle="1" w:styleId="subclause3Bullet1">
    <w:name w:val="subclause 3 Bullet 1"/>
    <w:basedOn w:val="Parasubclause3"/>
    <w:qFormat/>
    <w:rsid w:val="001663AA"/>
    <w:pPr>
      <w:numPr>
        <w:numId w:val="16"/>
      </w:numPr>
      <w:ind w:left="2273" w:hanging="357"/>
    </w:pPr>
  </w:style>
  <w:style w:type="paragraph" w:customStyle="1" w:styleId="subclause1Bullet2">
    <w:name w:val="subclause 1 Bullet 2"/>
    <w:basedOn w:val="Parasubclause1"/>
    <w:qFormat/>
    <w:rsid w:val="001663AA"/>
    <w:pPr>
      <w:numPr>
        <w:numId w:val="18"/>
      </w:numPr>
      <w:ind w:left="1434" w:hanging="357"/>
    </w:pPr>
  </w:style>
  <w:style w:type="paragraph" w:customStyle="1" w:styleId="subclause2Bullet2">
    <w:name w:val="subclause 2 Bullet 2"/>
    <w:basedOn w:val="Parasubclause2"/>
    <w:qFormat/>
    <w:rsid w:val="001663AA"/>
    <w:pPr>
      <w:numPr>
        <w:numId w:val="19"/>
      </w:numPr>
      <w:ind w:left="2273" w:hanging="357"/>
    </w:pPr>
  </w:style>
  <w:style w:type="paragraph" w:customStyle="1" w:styleId="subclause3Bullet2">
    <w:name w:val="subclause 3 Bullet 2"/>
    <w:basedOn w:val="Parasubclause3"/>
    <w:qFormat/>
    <w:rsid w:val="001663AA"/>
    <w:pPr>
      <w:numPr>
        <w:numId w:val="20"/>
      </w:numPr>
      <w:ind w:left="2982" w:hanging="357"/>
    </w:pPr>
  </w:style>
  <w:style w:type="paragraph" w:customStyle="1" w:styleId="DefinedTermBullet">
    <w:name w:val="Defined Term Bullet"/>
    <w:basedOn w:val="DefinedTermPara"/>
    <w:qFormat/>
    <w:rsid w:val="001663AA"/>
    <w:pPr>
      <w:numPr>
        <w:numId w:val="21"/>
      </w:numPr>
    </w:pPr>
  </w:style>
  <w:style w:type="paragraph" w:customStyle="1" w:styleId="DefinedTermNumber">
    <w:name w:val="Defined Term Number"/>
    <w:basedOn w:val="DefinedTermPara"/>
    <w:qFormat/>
    <w:rsid w:val="001663AA"/>
    <w:pPr>
      <w:numPr>
        <w:ilvl w:val="1"/>
      </w:numPr>
    </w:pPr>
  </w:style>
  <w:style w:type="paragraph" w:customStyle="1" w:styleId="AdditionalTitle">
    <w:name w:val="Additional Title"/>
    <w:basedOn w:val="Paragraph"/>
    <w:qFormat/>
    <w:rsid w:val="001663AA"/>
    <w:pPr>
      <w:jc w:val="left"/>
    </w:pPr>
    <w:rPr>
      <w:b/>
      <w:sz w:val="24"/>
    </w:rPr>
  </w:style>
  <w:style w:type="character" w:customStyle="1" w:styleId="error">
    <w:name w:val="error"/>
    <w:basedOn w:val="DefaultParagraphFont"/>
    <w:rsid w:val="001663AA"/>
    <w:rPr>
      <w:color w:val="000000"/>
    </w:rPr>
  </w:style>
  <w:style w:type="paragraph" w:customStyle="1" w:styleId="NoNumUntitledsubclause1">
    <w:name w:val="No Num Untitled subclause 1"/>
    <w:basedOn w:val="Untitledsubclause1"/>
    <w:qFormat/>
    <w:rsid w:val="001663AA"/>
    <w:pPr>
      <w:numPr>
        <w:ilvl w:val="0"/>
        <w:numId w:val="0"/>
      </w:numPr>
      <w:ind w:left="720"/>
    </w:pPr>
  </w:style>
  <w:style w:type="paragraph" w:customStyle="1" w:styleId="BackgroundParaClause">
    <w:name w:val="Background Para Clause"/>
    <w:basedOn w:val="Background"/>
    <w:qFormat/>
    <w:rsid w:val="001663AA"/>
    <w:pPr>
      <w:numPr>
        <w:numId w:val="0"/>
      </w:numPr>
    </w:pPr>
  </w:style>
  <w:style w:type="paragraph" w:customStyle="1" w:styleId="BackgroundParaSubclause1">
    <w:name w:val="Background Para Subclause1"/>
    <w:basedOn w:val="BackgroundSubclause1"/>
    <w:qFormat/>
    <w:rsid w:val="001663AA"/>
    <w:pPr>
      <w:numPr>
        <w:ilvl w:val="0"/>
        <w:numId w:val="0"/>
      </w:numPr>
      <w:ind w:left="994"/>
    </w:pPr>
    <w:rPr>
      <w:lang w:val="en-US"/>
    </w:rPr>
  </w:style>
  <w:style w:type="paragraph" w:customStyle="1" w:styleId="BackgroundParaSubclause2">
    <w:name w:val="Background Para Subclause2"/>
    <w:basedOn w:val="BackgroundSubclause2"/>
    <w:qFormat/>
    <w:rsid w:val="001663AA"/>
    <w:pPr>
      <w:numPr>
        <w:ilvl w:val="0"/>
        <w:numId w:val="0"/>
      </w:numPr>
      <w:ind w:left="1701"/>
    </w:pPr>
    <w:rPr>
      <w:lang w:val="en-US"/>
    </w:rPr>
  </w:style>
  <w:style w:type="paragraph" w:customStyle="1" w:styleId="ClauseBulletPara">
    <w:name w:val="Clause Bullet Para"/>
    <w:basedOn w:val="ClauseBullet1"/>
    <w:qFormat/>
    <w:rsid w:val="001663AA"/>
    <w:pPr>
      <w:numPr>
        <w:numId w:val="0"/>
      </w:numPr>
      <w:ind w:left="1080"/>
    </w:pPr>
    <w:rPr>
      <w:lang w:val="en-US"/>
    </w:rPr>
  </w:style>
  <w:style w:type="paragraph" w:customStyle="1" w:styleId="ClauseBullet2Para">
    <w:name w:val="Clause Bullet 2 Para"/>
    <w:basedOn w:val="ClauseBullet2"/>
    <w:qFormat/>
    <w:rsid w:val="001663AA"/>
    <w:pPr>
      <w:numPr>
        <w:numId w:val="0"/>
      </w:numPr>
      <w:ind w:left="1440"/>
    </w:pPr>
    <w:rPr>
      <w:lang w:val="en-US"/>
    </w:rPr>
  </w:style>
  <w:style w:type="paragraph" w:customStyle="1" w:styleId="ACTJurisdictionCheckList">
    <w:name w:val="ACTJurisdictionCheckList"/>
    <w:basedOn w:val="Normal"/>
    <w:rsid w:val="001663AA"/>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1663AA"/>
  </w:style>
  <w:style w:type="paragraph" w:customStyle="1" w:styleId="ScheduleTitleClause">
    <w:name w:val="Schedule Title Clause"/>
    <w:basedOn w:val="Normal"/>
    <w:rsid w:val="001663AA"/>
    <w:pPr>
      <w:keepNext/>
      <w:numPr>
        <w:ilvl w:val="2"/>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1663AA"/>
    <w:pPr>
      <w:numPr>
        <w:ilvl w:val="3"/>
        <w:numId w:val="2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1663AA"/>
    <w:pPr>
      <w:numPr>
        <w:ilvl w:val="4"/>
        <w:numId w:val="2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1663AA"/>
    <w:pPr>
      <w:numPr>
        <w:ilvl w:val="5"/>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1663AA"/>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1663AA"/>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1663AA"/>
    <w:pPr>
      <w:shd w:val="clear" w:color="auto" w:fill="D9D9D9" w:themeFill="background1" w:themeFillShade="D9"/>
      <w:ind w:left="1077"/>
    </w:pPr>
  </w:style>
  <w:style w:type="paragraph" w:customStyle="1" w:styleId="ScheduleUntitledClause">
    <w:name w:val="Schedule Untitled Clause"/>
    <w:basedOn w:val="ScheduleTitleClause"/>
    <w:qFormat/>
    <w:rsid w:val="001663AA"/>
    <w:pPr>
      <w:spacing w:before="120"/>
    </w:pPr>
    <w:rPr>
      <w:b w:val="0"/>
    </w:rPr>
  </w:style>
  <w:style w:type="paragraph" w:customStyle="1" w:styleId="EmptyClausePara">
    <w:name w:val="Empty Clause Para"/>
    <w:basedOn w:val="IgnoredSpacing"/>
    <w:qFormat/>
    <w:rsid w:val="001663AA"/>
  </w:style>
  <w:style w:type="paragraph" w:styleId="ListParagraph">
    <w:name w:val="List Paragraph"/>
    <w:basedOn w:val="Normal"/>
    <w:uiPriority w:val="34"/>
    <w:qFormat/>
    <w:rsid w:val="001663AA"/>
    <w:pPr>
      <w:ind w:left="720"/>
      <w:contextualSpacing/>
    </w:pPr>
    <w:rPr>
      <w:color w:val="000000"/>
    </w:rPr>
  </w:style>
  <w:style w:type="paragraph" w:customStyle="1" w:styleId="ScheduleTitlesubclause1">
    <w:name w:val="Schedule Title subclause1"/>
    <w:basedOn w:val="ScheduleUntitledsubclause1"/>
    <w:qFormat/>
    <w:rsid w:val="001663AA"/>
    <w:pPr>
      <w:spacing w:before="120"/>
    </w:pPr>
    <w:rPr>
      <w:b/>
    </w:rPr>
  </w:style>
  <w:style w:type="paragraph" w:customStyle="1" w:styleId="835FF0B0D5344FE4A8EE41F54AA7E17C16">
    <w:name w:val="835FF0B0D5344FE4A8EE41F54AA7E17C16"/>
    <w:rsid w:val="005779AE"/>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156C04"/>
    <w:rPr>
      <w:color w:val="000000"/>
      <w:shd w:val="clear" w:color="auto" w:fill="E6E6E6"/>
    </w:rPr>
  </w:style>
  <w:style w:type="paragraph" w:styleId="CommentText">
    <w:name w:val="annotation text"/>
    <w:basedOn w:val="Normal"/>
    <w:link w:val="CommentTextChar"/>
    <w:uiPriority w:val="99"/>
    <w:unhideWhenUsed/>
    <w:rsid w:val="002B1E2C"/>
    <w:pPr>
      <w:spacing w:line="240" w:lineRule="auto"/>
    </w:pPr>
    <w:rPr>
      <w:color w:val="000000"/>
      <w:sz w:val="20"/>
      <w:szCs w:val="20"/>
    </w:rPr>
  </w:style>
  <w:style w:type="character" w:customStyle="1" w:styleId="CommentTextChar">
    <w:name w:val="Comment Text Char"/>
    <w:basedOn w:val="DefaultParagraphFont"/>
    <w:link w:val="CommentText"/>
    <w:uiPriority w:val="99"/>
    <w:rsid w:val="002B1E2C"/>
    <w:rPr>
      <w:color w:val="000000"/>
      <w:sz w:val="20"/>
      <w:szCs w:val="20"/>
    </w:rPr>
  </w:style>
  <w:style w:type="character" w:styleId="CommentReference">
    <w:name w:val="annotation reference"/>
    <w:basedOn w:val="DefaultParagraphFont"/>
    <w:uiPriority w:val="99"/>
    <w:semiHidden/>
    <w:unhideWhenUsed/>
    <w:rsid w:val="002B1E2C"/>
    <w:rPr>
      <w:color w:val="000000"/>
      <w:sz w:val="16"/>
      <w:szCs w:val="16"/>
    </w:rPr>
  </w:style>
  <w:style w:type="paragraph" w:customStyle="1" w:styleId="SectorSpecificNoteTitle">
    <w:name w:val="Sector Specific Note Title"/>
    <w:basedOn w:val="JurisdictionDraftingnoteTitle"/>
    <w:qFormat/>
    <w:rsid w:val="001663AA"/>
  </w:style>
  <w:style w:type="table" w:customStyle="1" w:styleId="ShadedTable1">
    <w:name w:val="Shaded Table1"/>
    <w:basedOn w:val="TableNormal"/>
    <w:uiPriority w:val="99"/>
    <w:rsid w:val="001663AA"/>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1663AA"/>
    <w:rPr>
      <w:color w:val="000000"/>
    </w:rPr>
  </w:style>
  <w:style w:type="character" w:customStyle="1" w:styleId="IgnoredEmptysubclauseChar">
    <w:name w:val="Ignored Empty subclause Char"/>
    <w:basedOn w:val="DefaultParagraphFont"/>
    <w:link w:val="IgnoredEmptysubclause"/>
    <w:rsid w:val="001663AA"/>
    <w:rPr>
      <w:color w:val="000000"/>
    </w:rPr>
  </w:style>
  <w:style w:type="character" w:styleId="Strong">
    <w:name w:val="Strong"/>
    <w:basedOn w:val="DefaultParagraphFont"/>
    <w:uiPriority w:val="22"/>
    <w:qFormat/>
    <w:rsid w:val="000A52DF"/>
    <w:rPr>
      <w:b/>
      <w:bCs/>
      <w:color w:val="000000"/>
    </w:rPr>
  </w:style>
  <w:style w:type="paragraph" w:customStyle="1" w:styleId="6B1115FCC3DC4C6AB2CF846F0C50B663">
    <w:name w:val="6B1115FCC3DC4C6AB2CF846F0C50B663"/>
    <w:rsid w:val="001B62BF"/>
    <w:pPr>
      <w:spacing w:line="276" w:lineRule="auto"/>
    </w:pPr>
    <w:rPr>
      <w:color w:val="000000"/>
    </w:rPr>
  </w:style>
  <w:style w:type="paragraph" w:styleId="Revision">
    <w:name w:val="Revision"/>
    <w:hidden/>
    <w:uiPriority w:val="99"/>
    <w:semiHidden/>
    <w:rsid w:val="002740BA"/>
    <w:pPr>
      <w:spacing w:after="0" w:line="240" w:lineRule="auto"/>
    </w:pPr>
    <w:rPr>
      <w:color w:val="000000"/>
    </w:rPr>
  </w:style>
  <w:style w:type="paragraph" w:styleId="CommentSubject">
    <w:name w:val="annotation subject"/>
    <w:basedOn w:val="CommentText"/>
    <w:next w:val="CommentText"/>
    <w:link w:val="CommentSubjectChar"/>
    <w:uiPriority w:val="99"/>
    <w:semiHidden/>
    <w:unhideWhenUsed/>
    <w:rsid w:val="0036686B"/>
    <w:rPr>
      <w:b/>
      <w:bCs/>
    </w:rPr>
  </w:style>
  <w:style w:type="character" w:customStyle="1" w:styleId="CommentSubjectChar">
    <w:name w:val="Comment Subject Char"/>
    <w:basedOn w:val="CommentTextChar"/>
    <w:link w:val="CommentSubject"/>
    <w:uiPriority w:val="99"/>
    <w:semiHidden/>
    <w:rsid w:val="0036686B"/>
    <w:rPr>
      <w:b/>
      <w:bCs/>
      <w:color w:val="000000"/>
      <w:sz w:val="20"/>
      <w:szCs w:val="20"/>
    </w:r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n-document xmlns:xsd="http://www.w3.org/2001/XMLSchema" xmlns:xsi="http://www.w3.org/2001/XMLSchema-instance" guid="0" synced="true" validated="true">
  <n-docbody>
    <standard.doc precedenttype="agreement">
      <prelim>
        <product.name>product.name0</product.name>
        <title>Confidentiality agreement (one-way; pro-discloser)</title>
        <author>
          <link href="http://www.practicallaw.com/about/our-team/uk-commercial" style="ACTLinkURL">
            <ital>Practical Law Commercial</ital>
          </link>
        </author>
        <resource.type>Standard documents</resource.type>
        <juris>juris0</juris>
        <juris>juris1</juris>
      </prelim>
      <abstract>
        <para>
          <paratext>A one-way confidentiality agreement (also known as a non-disclosure agreement or NDA) for general commercial purposes, drafted from the discloser's perspective.</paratext>
        </para>
      </abstract>
      <toc.identifier hasToc="true"/>
      <body>
        <drafting.note id="a477209" jurisdiction="">
          <head align="left" preservecase="true">
            <headtext>About this document</headtext>
          </head>
          <division id="a000003" level="1">
            <para>
              <paratext>This one-way confidentiality (or non-disclosure) agreement (NDA) is drafted from the discloser's perspective and can be used where the disclosure of confidential information is for a defined purpose. This will usually be a project that the parties are considering undertaking together.</paratext>
            </para>
          </division>
          <division id="a128770" level="1">
            <head align="left" preservecase="true">
              <headtext>Purpose of confidentiality agreements</headtext>
            </head>
            <para>
              <paratext>Confidentiality agreements, also known as non-disclosure agreements (NDAs), aim to ensure the following:</paratext>
            </para>
            <list type="bulleted">
              <list.item>
                <para>
                  <paratext>
                    <bold>Preservation of confidentiality.</bold>
                     Confidential information disclosed under the agreement remains confidential and kept secret.
                  </paratext>
                </para>
              </list.item>
              <list.item>
                <para>
                  <paratext>
                    <bold>Use for defined purpose only.</bold>
                     The recipient of confidential information agrees that it will not use the information for any purpose that is not set out in the confidentiality agreement.
                  </paratext>
                </para>
              </list.item>
            </list>
          </division>
          <division id="a408451" level="1">
            <head align="left" preservecase="true">
              <headtext>Legal issues</headtext>
            </head>
            <para>
              <paratext>
                The key legal issues to consider in the context of confidentiality agreements are set out below. For more information on the law of confidentiality, see 
                <link href="8-384-4456" style="ACTLinkPLCtoPLC">
                  <ital>Practice note, Protecting confidential information: overview</ital>
                </link>
                .
              </paratext>
            </para>
            <division id="a711821" level="2">
              <head align="left" preservecase="true">
                <headtext>Limitations of confidentiality agreements</headtext>
              </head>
              <division id="a330145" level="3">
                <head align="left" preservecase="true">
                  <headtext>Remedies for breach and practical steps</headtext>
                </head>
                <para>
                  <paratext>The discloser should be aware that a confidentiality agreement cannot provide an absolute guarantee that the disclosed information will be protected. A confidentiality agreement has limitations, particularly where the recipient has little intention of complying with its obligations under the agreement. If a recipient uses or discloses confidential information in breach of the confidentiality agreement, it may be too late, or at the very least, prohibitively expensive, for the discloser to seek a meaningful remedy:</paratext>
                </para>
                <list type="bulleted">
                  <list.item>
                    <para>
                      <paratext>
                        An injunction (to stop any unauthorised disclosure or use of the information) is the first choice of remedy if the discloser discovers the recipient's intentions before it breaches the confidentiality agreement. After the breach, an injunction may be of little or no use. Once the information has entered the public domain, there is no legal remedy that will make it secret again. See also 
                        <internal.reference refid="a100394">Drafting note, Inadequacy of damages</internal.reference>
                         at 
                        <internal.reference refid="a429965">clause 9</internal.reference>
                        .
                      </paratext>
                    </para>
                  </list.item>
                  <list.item>
                    <para>
                      <paratext>Damages for breach of contract (or a claim for an account of profits where the recipient has made use of the information) may not be an adequate remedy, especially where the confidential information has potential future value rather than value today.</paratext>
                    </para>
                  </list.item>
                  <list.item>
                    <para>
                      <paratext>Proving that there has been a breach of confidentiality agreement can often be difficult.</paratext>
                    </para>
                  </list.item>
                  <list.item>
                    <para>
                      <paratext>Even where the recipient is honest and acting in good faith, it will inevitably be influenced by the disclosed confidential information, whatever the terms of the confidentiality agreement.</paratext>
                    </para>
                  </list.item>
                </list>
                <para>
                  <paratext>
                    Given these limitations, a discloser should, in addition to entering into the agreement, put practical measures in place to protect the information. For example, disclosing only what is absolutely necessary, providing hard copies of information only, or limiting the number of individuals who may receive the information. For more information, see 
                    <link anchor="a550821" href="8-384-4456" style="ACTLinkPLCtoPLC">
                      <ital>Practice note, Protecting confidential information: overview: Practical steps to establish and maintain confidentiality</ital>
                    </link>
                    .
                  </paratext>
                </para>
              </division>
              <division id="a551815" level="3">
                <head align="left" preservecase="true">
                  <headtext>Trade secrets and taking reasonable steps</headtext>
                </head>
                <para>
                  <paratext>
                    Specifically for the protection of trade secrets (which is a type of confidential information that gives its owner a competitive advantage, such as the Coca-cola recipe), putting practical measures in place and evidencing them has arguably become more important since the 
                    <link href="https://uk.practicallaw.thomsonreuters.com/w-014-9127?originationContext=document&amp;amp;transitionType=PLDocumentLink&amp;amp;contextData=(sc.Default)" style="ACTLinkURL">
                      <ital>Trade Secrets (Enforcement, etc.) Regulations 2018 (SI 2018/597)</ital>
                    </link>
                     (Trade Secrets Regulations) came into force in 2018. The Trade Secrets Regulations implemented the 
                    <link href="https://uk.practicallaw.thomsonreuters.com/w-015-1298?originationContext=document&amp;amp;transitionType=PLDocumentLink&amp;amp;contextData=(sc.Default)" style="ACTLinkURL">
                      <ital>Trade Secrets Directive (2016/943/EU)</ital>
                    </link>
                    <ital> </ital>
                    in the UK, and introduced a statutory regime of protecting trade secrets. This statutory protection is intended to co-exist with the more traditional form of protection of trade secrets offered by the equitable doctrine of confidence. The two regimes are intended to be separate legal systems that exist in parallel.
                  </paratext>
                </para>
                <para>
                  <paratext>
                    As a consequence of the Trade Secrets Regulations introducing a new statutory definition of 'trade secret' (
                    <link href="https://uk.practicallaw.thomsonreuters.com/w-014-9386?originationContext=document&amp;amp;transitionType=PLDocumentLink&amp;amp;contextData=(sc.Default)" style="ACTLinkURL">
                      <ital>regulation 2</ital>
                    </link>
                    ) involving a requirement on the legal owner to take "reasonable steps under the circumstances to keep it secret", evidencing such practical steps may be all the more important, at least for the protection of trade secrets in any event.
                  </paratext>
                </para>
                <para>
                  <paratext>
                    For further information see 
                    <link href="https://uk.practicallaw.thomsonreuters.com/w-021-1676?originationContext=document&amp;amp;transitionType=DocumentItem&amp;amp;contextData=(sc.Default)" style="ACTLinkURL">
                      <ital>Practice note, Protecting trade secrets: overview</ital>
                    </link>
                    .
                  </paratext>
                </para>
                <para>
                  <paratext>
                    Also see 
                    <internal.reference refid="a664461">Drafting note, Trade secrets</internal.reference>
                    .
                  </paratext>
                </para>
              </division>
              <division id="a987092" level="3">
                <head align="left" preservecase="true">
                  <headtext>Public interest considerations</headtext>
                </head>
                <para>
                  <paratext>In certain circumstances, public interest considerations may override confidentiality obligations. For example, where the disclosed information reveals details of crimes or torts committed by the provider of the information.</paratext>
                </para>
                <para>
                  <paratext>
                    In 
                    <link href="https://uk.practicallaw.thomsonreuters.com/Document/IE12C1131E42711DA8FC2A0F0355337E9/View/FullText.html" style="ACTLinkURL">
                      <ital>Lion Laboratories Ltd v Evans [1985] QB 526</ital>
                    </link>
                    , Stephenson LJ explained this in terms of a conflict of interest. On the one hand, there is a public interest in preserving the right of organisations and individuals to keep their affairs private and their information confidential. On the other hand, however, the court will examine individual cases carefully if it appears that this interest may be outweighed by a wider interest in making the information available to the general public. If such a case is made out, the discloser will be able to raise a successful defence to a claim that they have revealed confidential information in breach of contractual obligations. This could be relevant where a party who receives confidential information suspects bribery on the part of the disclosing party, and subsequently reports this to the Serious Fraud Office. See the integrated drafting notes relating to permitted disclosure at 
                    <internal.reference refid="a420225">clause 4</internal.reference>
                    .
                  </paratext>
                </para>
                <para>
                  <paratext>
                    For more information on public interest considerations, see 
                    <link anchor="a523578" href="8-384-4456" style="ACTLinkPLCtoPLC">
                      <ital>Practice note, Protecting confidential information: overview: Confidentiality obligations and the public interest (iniquity defence)</ital>
                    </link>
                    .
                  </paratext>
                </para>
              </division>
            </division>
            <division id="a930157" level="2">
              <head align="left" preservecase="true">
                <headtext>Restraint of trade considerations</headtext>
              </head>
              <para>
                <paratext>Under the law of confidentiality, the protection of confidential information is a recognised ground upon which restraint of trade is considered to be justified. However, restraint of trade considerations are applicable in the usual way to non-solicitation, non-compete, non-circumvention clauses and the like. Is the restriction, or restraint, a reasonable one (in duration, scope and territory, if applicable) for the legitimate protection of the disclosing party's business? If it is not, the restriction may not be valid.</paratext>
              </para>
              <para>
                <paratext>In practice a confidentiality agreement can be difficult to both police and enforce. In particular, proving misuse can be very difficult. An effective non-compete clause may be easier to enforce and the one should not be viewed as a substitute for the other.</paratext>
              </para>
              <para>
                <paratext>
                  In 
                  <link href="D-106-1455" style="ACTLinkPLCtoPLC">
                    <ital>Harcus Sinclair LLP and another v Your Lawyers Ltd [2021] UKSC 32</ital>
                  </link>
                  , the Supreme Court said that a non-compete undertaking may be needed even if a party were simply seeking to protect confidential information. This is because it is often difficult to prove what is and what is not confidential information and, in particular, whether that information has been misused. A non-compete undertaking may be a useful means of ensuring that confidential information is protected without needing to prove, through protracted litigation, that the information has been misused. On this point, the court cited 
                  <link href="https://uk.practicallaw.thomsonreuters.com/Document/IE1BE8D30E42711DA8FC2A0F0355337E9/View/FullText.html" style="ACTLinkURL">
                    <ital>Littlewoods Organisation Ltd v Harris [1977] 1 WLR 1472</ital>
                  </link>
                  <ital>, a</ital>
                  nd 
                  <link href="https://uk.practicallaw.thomsonreuters.com/Document/I008C51A0C19711DB96CDD4F2B5B8B5F3/View/FullText.html" style="ACTLinkURL">
                    <ital>Thomas v Farr Plc [2007] EWCA Civ 118</ital>
                  </link>
                  . (See 
                  <link href="https://uk.practicallaw.thomsonreuters.com/Document/Ifc14f16eebc411ebbea4f0dc9fb69570/View/FullText.html?navigationPath=Search%2Fv1%2Fresults%2Fnavigation%2Fi0ad740350000017b0cb62069bc149ec8%3Fppcid%3D4877ab1088694ad6baee05f8ca7e5547%26Nav%3DKNOWHOW_UK%26fragmentIdentifier%3DIfc14f16eebc411ebbea4f0dc9fb69570%26parentRank%3D0%26startIndex%3D1%26contextData%3D%2528sc.Search%2529%26transitionType%3DSearchItem&amp;amp;listSource=Search&amp;amp;listPageSource=88b3eb31235ab59c5575e5d512e902d6&amp;amp;list=KNOWHOW_UK&amp;amp;rank=3&amp;amp;sessionScopeId=5d2ec752ec38920ea87218b380dad1da95ba4c2bd7809baf2ecb1a4f307b0aee&amp;amp;ppcid=4877ab1088694ad6baee05f8ca7e5547&amp;amp;originationContext=Search%20Result&amp;amp;transitionType=SearchItem&amp;amp;contextData=(sc.Search)&amp;amp;comp=pluk&amp;amp;navId=A50BC9906B47FFE110AABA4FBC8D20C5" style="ACTLinkURL">
                    <ital>Legal update, Legitimate interests in a non-compete include non-contractual intentions (Supreme Court)</ital>
                  </link>
                  ).
                </paratext>
              </para>
              <para>
                <paratext>
                  For a more detailed discussion on how confidential information inter-relates with restrictive covenants, see 
                  <link anchor="a875756" href="w-001-8218" style="ACTLinkPLCtoPLC">
                    <ital>Practice note, Restraint of trade in commercial and corporate contracts: Business secrets and confidentiality</ital>
                  </link>
                  .
                </paratext>
              </para>
            </division>
            <division id="a713131" level="2">
              <head align="left" preservecase="true">
                <headtext>Requirement for consideration</headtext>
              </head>
              <para>
                <paratext>
                  Where a confidentiality agreement is structured as a simple contract, it must be supported by 
                  <link href="3-107-5984" style="ACTLinkPLCtoPLC">
                    <bold>
                      <ital>consideration</ital>
                    </bold>
                  </link>
                   to be enforceable, see
                  <ital> </ital>
                  <link anchor="co_anchor_a673916" href="https://uk.practicallaw.thomsonreuters.com/3-107-4828?originationContext=document&amp;amp;transitionType=DocumentItem&amp;amp;contextData=(sc.Default)&amp;amp;comp=pluk&amp;amp;navId=75C254A0EFBEAF9F00732CB6EE9C5D8D" style="ACTLinkURL">
                    <ital>Practice note, Contracts: formation: consideration</ital>
                  </link>
                  .
                </paratext>
              </para>
              <para>
                <paratext>In most situations, the consideration for the recipient's confidentiality obligations is the disclosure of the information by the discloser so the requirement for consideration would be met.</paratext>
              </para>
              <para>
                <paratext>But issues regarding adequate consideration can arise in some situations, such as where the confidential information is disclosed before the confidentiality agreement is signed. Past consideration is usually no consideration, although the parties could deal with this in one of the following ways:</paratext>
              </para>
              <list type="bulleted">
                <list.item>
                  <para>
                    <paratext>
                      <bold>Deed.</bold>
                       The agreement could be executed as a deed, as deeds are generally enforceable despite a lack of consideration. See 
                      <link href="0-380-8400#a473376" style="ACTLinkPLCtoPLC">
                        <ital>Practice note, Execution of deeds and documents: When is a deed required?</ital>
                      </link>
                      .
                    </paratext>
                  </para>
                </list.item>
                <list.item>
                  <para>
                    <paratext>
                      <bold>Nominal consideration.</bold>
                       The parties could give additional consideration in the form of a payment of a nominal sum of money.
                    </paratext>
                  </para>
                </list.item>
              </list>
            </division>
            <division id="a619213" level="2">
              <head align="left" preservecase="true">
                <headtext>Indemnity in a confidentiality agreement</headtext>
              </head>
              <para>
                <paratext>
                  This document does contain an indemnity in favour of the discloser to cover the losses arising from the misuse or unauthorised disclosure of confidential information. This is often asked for on the basis that indemnities may offer the indemnified party a number of potential advantages over a claim for breach of contract. See 
                  <internal.reference refid="a697734">Drafting note, Indemnity</internal.reference>
                  .
                </paratext>
              </para>
            </division>
            <division id="a190462" level="2">
              <head align="left" preservecase="true">
                <headtext>Legal restrictions on disclosure of information</headtext>
              </head>
              <para>
                <paratext>The parties need to be aware that legal restrictions may prevent the disclosure of certain information to each other. For example:</paratext>
              </para>
              <list type="bulleted">
                <list.item>
                  <para>
                    <paratext>
                      <bold>Official secrets.</bold>
                       Parties who are government contractors may be subject to restrictions under official secrecy legislation.
                    </paratext>
                  </para>
                </list.item>
                <list.item>
                  <para>
                    <paratext>
                      <bold>Other confidentiality obligations.</bold>
                       A party may be under a confidentiality obligation owed to a third party. For example, a separate contractual confidentiality clause in a contract that it has entered into with that third party.
                    </paratext>
                  </para>
                </list.item>
                <list.item>
                  <para>
                    <paratext>
                      <bold>Personal data.</bold>
                       The collection, handling and storage of 
                      <link href="8-200-3413" style="ACTLinkPLCtoPLC">
                        <ital>personal data</ital>
                      </link>
                       is tightly regulated. It is assumed that the confidential information being shared under this NDA does not include any personal data, but to the extent that it does, the parties will need to consider the applicable requirements under the UK's data protection legislation, as appropriate. These matters could be addressed in:
                    </paratext>
                  </para>
                  <list type="bulleted">
                    <list.item>
                      <para>
                        <paratext>
                          The confidentiality agreement itself, see 
                          <link href="https://uk.practicallaw.thomsonreuters.com/Document/If5596e3daf6b11e9adfea82903531a62/View/FullText.html?navigationPath=Search%2Fv1%2Fresults%2Fnavigation%2Fi0ad6ad3e00000176fc01cb1e1adda77d%3FNav%3DKNOWHOW_UK%26fragmentIdentifier%3DIf5596e3daf6b11e9adfea82903531a62%26parentRank%3D0%26startIndex%3D1%26contextData%3D%2528sc.Search%2529%26transitionType%3DSearchItem&amp;amp;listSource=Search&amp;amp;listPageSource=e22c978e449f76ee08d45af1f9b730c7&amp;amp;list=KNOWHOW_UK&amp;amp;rank=1&amp;amp;sessionScopeId=8e022048621faeff12f537e0c5ab131e2d80bad6851ddcf3ce2b56c436ad781c&amp;amp;originationContext=Search%20Result&amp;amp;transitionType=SearchItem&amp;amp;contextData=(sc.Search)&amp;amp;comp=pluk&amp;amp;navId=DB7FC9B039D3E362820DBCAF5BC2CAA2" style="ACTLinkURL">
                            <ital>Standard document, Confidentiality agreement (one-way; pro-discloser) with data protection provisions</ital>
                          </link>
                          <ital>.</ital>
                        </paratext>
                      </para>
                    </list.item>
                    <list.item>
                      <para>
                        <paratext>
                          A separate data sharing agreement (see, for example, 
                          <link href="w-011-7560" style="ACTLinkPLCtoPLC">
                            <ital>Standard clause, Personal data sharing clauses (controller to controller, short-form) (UK)</ital>
                          </link>
                           and 
                          <link href="w-014-5640" style="ACTLinkPLCtoPLC">
                            <ital>Standard document, Data sharing agreement (controller to controller) (UK</ital>
                          </link>
                          <ital>)</ital>
                          ).
                        </paratext>
                      </para>
                    </list.item>
                  </list>
                  <para>
                    <paratext>For more information on data protection requirements, see:</paratext>
                  </para>
                  <list type="bulleted">
                    <list.item>
                      <para>
                        <paratext>
                          <link href="w-013-3757" style="ACTLinkPLCtoPLC">
                            <ital>Practice note, Overview of UK GDPR</ital>
                          </link>
                          .
                        </paratext>
                      </para>
                    </list.item>
                    <list.item>
                      <para>
                        <paratext>
                          <link anchor="a227146" href="w-014-9200" style="ACTLinkPLCtoPLC">
                            <ital>Practice note, Data protection in corporate transactions (UK): NDAs and personal data</ital>
                          </link>
                          .
                        </paratext>
                      </para>
                    </list.item>
                  </list>
                </list.item>
              </list>
            </division>
            <division id="a493357" level="2">
              <head align="left" preservecase="true">
                <headtext>Public bodies: Freedom of Information Act 2000 and the Environmental Information Regulations 2004</headtext>
              </head>
              <para>
                <paratext>
                  Public bodies are obliged by the 
                  <link href="4-505-6037" style="ACTLinkPLCtoPLC">
                    <ital>Freedom of Information Act 2000</ital>
                  </link>
                   (FOIA) and the 
                  <link href="3-508-2782" style="ACTLinkPLCtoPLC">
                    <ital>Environmental Information Regulations 2004 (SI 2004/3391)</ital>
                  </link>
                   (EIR) to disclose certain information on request, to anyone asking for it, subject to various exemptions. This includes information belonging to a third party which is held by a public authority, even if the third party imposed confidentiality obligations on the public authority.
                </paratext>
              </para>
              <para>
                <paratext>A private entity who enters into a confidentiality agreement with a public authority should be aware that the information it provides to the public authority pursuant to that confidentiality agreement may be disclosed if that public authority becomes subject to an FOIA or EIR request. The FOIA and the EIR do not oblige a public authority to give notice to, consult, or inform third parties that may be affected by a disclosure before making that disclosure. However, it is good practice for a public authority to do so. A public authority may be prepared to agree to use reasonable endeavours to notify the third party that they have received a request for information affecting that party.</paratext>
              </para>
              <para>
                <paratext>
                  For an example of a boilerplate clause reflecting the FOIA and EIR regimes for use in a contract with a public sector body, see 
                  <link href="4-501-5075" style="ACTLinkPLCtoPLC">
                    <ital>Standard clause, Public sector boilerplate: Freedom of information</ital>
                  </link>
                  .
                </paratext>
              </para>
              <para>
                <paratext>For more information on the FOIA and EIR regimes, see the following Practice notes:</paratext>
              </para>
              <list type="bulleted">
                <list.item>
                  <para>
                    <paratext>
                      <link href="0-200-9452" style="ACTLinkPLCtoPLC">
                        <ital>Freedom of information</ital>
                      </link>
                      .
                    </paratext>
                  </para>
                </list.item>
                <list.item>
                  <para>
                    <paratext>
                      <link href="4-205-5357" style="ACTLinkPLCtoPLC">
                        <ital>Environmental Information Regulations 2004</ital>
                      </link>
                      .
                    </paratext>
                  </para>
                </list.item>
              </list>
            </division>
          </division>
          <division id="a175133" level="1">
            <head align="left" preservecase="true">
              <headtext>Drafting assumptions</headtext>
            </head>
            <para>
              <paratext>This agreement has been drafted on the following assumptions:</paratext>
            </para>
            <list type="bulleted">
              <list.item>
                <para>
                  <paratext>
                    <bold>Private companies.</bold>
                     The parties are private companies and neither are public authorities subject to the FOIA or EIR regimes. See 
                    <internal.reference refid="a493357">Drafting note, Public bodies: Freedom of Information Act 2000 and the Environmental Information Regulations 2004</internal.reference>
                    . The parties have been defined in this agreement as "Party 1" and "Party 2" (as the discloser and recipient respectively) but "Party 1" and "Party 2" should be substituted with appropriate short-form company names.
                  </paratext>
                </para>
              </list.item>
              <list.item>
                <para>
                  <paratext>
                    <bold>One-way disclosure.</bold>
                     Only one party is disclosing the confidential information and the drafting is weighted in favour of the discloser. If the drafting it to be weighted in favour of the recipient, see 
                    <link href="3-384-0494" style="ACTLinkPLCtoPLC">
                      <ital>Standard document, Confidentiality agreement (one-way; pro-recipient)</ital>
                    </link>
                    . If the disclosure of confidential information will be mutual, see 
                    <link href="0-384-4083" style="ACTLinkPLCtoPLC">
                      <ital>Standard document, Confidentiality agreement (mutual)</ital>
                    </link>
                    .
                  </paratext>
                </para>
              </list.item>
              <list.item>
                <para>
                  <paratext>
                    <bold>Specific purpose.</bold>
                     The disclosure of confidential information is for a defined purpose.
                  </paratext>
                </para>
              </list.item>
              <list.item>
                <para>
                  <paratext>
                    <bold>Timing of disclosure.</bold>
                     The confidentiality agreement is entered into before any information is disclosed, although there is optional wording to cover the scenario where confidential information is disclosed before the agreement is signed.
                  </paratext>
                </para>
              </list.item>
              <list.item>
                <para>
                  <paratext>
                    <bold>Governing law.</bold>
                     The confidentiality agreement is governed by the law of England and Wales.
                  </paratext>
                </para>
              </list.item>
            </list>
          </division>
          <division id="a218437" level="1">
            <head align="left" preservecase="true">
              <headtext>Alternative agreements</headtext>
            </head>
            <para>
              <paratext>For other versions of confidentiality agreements, see the following Standard documents:</paratext>
            </para>
            <list type="bulleted">
              <list.item>
                <para>
                  <paratext>
                    <link href="0-384-4083" style="ACTLinkPLCtoPLC">
                      <ital>Confidentiality agreement (mutual)</ital>
                    </link>
                    .
                  </paratext>
                </para>
              </list.item>
              <list.item>
                <para>
                  <paratext>
                    <link href="3-384-0494" style="ACTLinkPLCtoPLC">
                      <ital>Confidentiality agreement (one-way; pro-recipient)</ital>
                    </link>
                    .
                  </paratext>
                </para>
              </list.item>
            </list>
            <para>
              <paratext>
                For a shorter form one-way confidentiality agreement, see 
                <link href="1-375-8305" style="ACTLinkPLCtoPLC">
                  <ital>Standard document, Confidentiality letter agreement: short form (one-way; pro-discloser)</ital>
                </link>
                .
              </paratext>
            </para>
          </division>
        </drafting.note>
        <cover.sheet>
          <head align="left" preservecase="true">
            <headtext>Confidentiality agreement (one-way; pro-discloser)</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416606" status="individual">
            <identifier>(1)</identifier>
            <defn.item>
              <defn>
                <para>
                  <paratext>[FULL COMPANY NAME] incorporated and registered in England and Wales with company number [NUMBER] whose registered office is at [REGISTERED OFFICE ADDRESS]</paratext>
                </para>
              </defn>
              <defn.term>Party 1</defn.term>
            </defn.item>
          </party>
          <party executionmethod="contract" id="a172951" status="individual">
            <identifier>(2)</identifier>
            <defn.item>
              <defn>
                <para>
                  <paratext>[FULL COMPANY NAME] incorporated and registered in England and Wales with company number [NUMBER] whose registered office is at [REGISTERED OFFICE ADDRESS]</paratext>
                </para>
              </defn>
              <defn.term>Party 2</defn.term>
            </defn.item>
          </party>
        </parties>
        <recitals>
          <head align="left" preservecase="true">
            <headtext>BACKGROUND</headtext>
          </head>
          <clause id="a786816">
            <identifier>(A)</identifier>
            <para>
              <paratext>The parties intend to enter into discussions relating to the Purpose which will involve the disclosure of confidential information from Party 1 to Party 2.</paratext>
            </para>
          </clause>
          <clause id="a962538">
            <identifier>(B)</identifier>
            <para>
              <paratext>The parties have agreed to comply with this agreement in connection with the disclosure and use of Confidential Information.</paratext>
            </para>
          </clause>
        </recitals>
        <operative xrefname="clause">
          <head align="left" preservecase="true">
            <headtext>Agreed terms</headtext>
          </head>
          <clause id="a116502">
            <identifier>1.</identifier>
            <head align="left" preservecase="true">
              <headtext>Interpretation</headtext>
            </head>
            <subclause1 id="a490181">
              <identifier>1.1</identifier>
              <para>
                <paratext>
                  <bold>Definitions:</bold>
                </paratext>
              </para>
              <drafting.note id="a152310" jurisdiction="">
                <head align="left" preservecase="true">
                  <headtext>Definitions</headtext>
                </head>
                <division id="a000004" level="1">
                  <list type="bulleted">
                    <list.item>
                      <para>
                        <paratext>Delete any definition that is not used in this agreement. A word search on a definition will reveal whether it is used or not.</paratext>
                      </para>
                    </list.item>
                    <list.item>
                      <para>
                        <paratext>Consider whether any definitions need to be added.</paratext>
                      </para>
                    </list.item>
                    <list.item>
                      <para>
                        <paratext>Check each definition carefully to make sure it means what you intend it to mean and amend where necessary.</paratext>
                      </para>
                    </list.item>
                    <list.item>
                      <para>
                        <paratext>Be consistent. Where a capitalised term is used, do not introduce it without capitals later on or use a different form of words to mean the same thing.</paratext>
                      </para>
                    </list.item>
                  </list>
                </division>
              </drafting.note>
              <defn.item id="a824490">
                <defn.term>Business Day</defn.term>
                <defn>
                  <para>
                    <paratext>a day other than a Saturday, Sunday or public holiday in England when banks in London are open for business.</paratext>
                  </para>
                </defn>
              </defn.item>
              <defn.item id="a582338">
                <defn.term>Confidential Information</defn.term>
                <defn>
                  <para>
                    <paratext>
                      has the meaning given in 
                      <internal.reference refid="a640922">clause 2</internal.reference>
                      .
                    </paratext>
                  </para>
                </defn>
              </defn.item>
              <defn.item condition="optional" id="a640336">
                <defn.term>Group</defn.term>
                <defn>
                  <para>
                    <paratext>in relation to a company, that company, any subsidiary or holding company from time to time of that company, and any subsidiary from time to time of a holding company of that company. Each company in a Group is a member of the Group.</paratext>
                  </para>
                </defn>
                <drafting.note id="a875282" jurisdiction="">
                  <head align="left" preservecase="true">
                    <headtext>Group (optional definition)</headtext>
                  </head>
                  <division id="a000005" level="1">
                    <para>
                      <paratext>
                        The definition of group includes any two or more companies in a holding company or subsidiary relationship. This should be considered together with the definitions of "subsidiary" and "holding company" in 
                        <internal.reference refid="a545323">clause 1.2(e)</internal.reference>
                         (see 
                        <internal.reference refid="a436127">Drafting note, Holding company and subsidiary</internal.reference>
                        ).
                      </paratext>
                    </para>
                    <para>
                      <paratext>Omit this defined term if neither party is part of a corporate group, or if the parties are certain that none of their group members will be receiving or providing confidential information.</paratext>
                    </para>
                  </division>
                </drafting.note>
              </defn.item>
              <defn.item condition="optional" id="a533519">
                <defn.term>Group Company</defn.term>
                <defn>
                  <para>
                    <paratext>in relation to a company, any member of its Group.</paratext>
                  </para>
                </defn>
              </defn.item>
              <defn.item id="a154192">
                <defn.term>Holding company</defn.term>
                <defn>
                  <para>
                    <paratext>
                      has the meaning give in 
                      <internal.reference refid="a545323">clause 1.2(e)</internal.reference>
                      .
                    </paratext>
                  </para>
                </defn>
              </defn.item>
              <defn.item id="a729283">
                <defn.term>Purpose</defn.term>
                <defn>
                  <para>
                    <paratext>[STATE THE PURPOSE, FOR EXAMPLE, THE EVALUATION OR ESTABLISHMENT OF A COLLABORATION IN RESPECT OF A PARTICULAR PROJECT].</paratext>
                  </para>
                </defn>
                <drafting.note id="a656326" jurisdiction="">
                  <head align="left" preservecase="true">
                    <headtext>Purpose</headtext>
                  </head>
                  <division id="a000006" level="1">
                    <para>
                      <paratext>Before commencing any confidential discussions, the parties need to be clear about the purpose of working together.</paratext>
                    </para>
                    <para>
                      <paratext>
                        A wide and generic definition may seem convenient, for example, "discussions relating to prospective IT services", particularly in the very early stages where the detailed purpose is not defined yet. But this should be resisted as it may inadvertently cover information which was not intended to be confidential, thus placing an unnecessarily wide confidentiality obligation on the recipient. This could potentially jeopardise the effectiveness of the agreement, see 
                        <internal.reference refid="a848824">Drafting note, Confidential information</internal.reference>
                         at 
                        <internal.reference refid="a640922">clause 2</internal.reference>
                        .
                      </paratext>
                    </para>
                  </division>
                </drafting.note>
              </defn.item>
              <defn.item id="a992977">
                <defn.term>Representative(s)</defn.term>
                <defn>
                  <para>
                    <paratext>in relation to each party [and any member of its Group]:</paratext>
                  </para>
                  <list type="loweralpha">
                    <list.item>
                      <para>
                        <paratext>its officers and employees that need to know the Confidential Information for the Purpose;</paratext>
                      </para>
                    </list.item>
                    <list.item>
                      <para>
                        <paratext>its professional advisers or consultants who are engaged to advise that party [and/or any member of its Group] in connection with the Purpose;</paratext>
                      </para>
                    </list.item>
                    <list.item>
                      <para>
                        <paratext>its contractors and sub-contractors engaged by that party [and/or any member of its Group] in connection with the Purpose; and</paratext>
                      </para>
                    </list.item>
                    <list.item>
                      <para>
                        <paratext>any other person to whom the other party agrees in writing that Confidential Information may be disclosed in connection with the Purpose.</paratext>
                      </para>
                    </list.item>
                  </list>
                </defn>
                <drafting.note id="a809394" jurisdiction="">
                  <head align="left" preservecase="true">
                    <headtext>Representatives</headtext>
                  </head>
                  <division id="a000007" level="1">
                    <para>
                      <paratext>The parties will need to involve others in the process of evaluating the confidential information because:</paratext>
                    </para>
                    <list type="bulleted">
                      <list.item>
                        <para>
                          <paratext>The agreement assumes that the parties are companies, so they will need to work through their employees, directors and consultants.</paratext>
                        </para>
                      </list.item>
                      <list.item>
                        <para>
                          <paratext>The parties may require advisers to assist with the transaction. For example, lawyers, financial advisers and funders.</paratext>
                        </para>
                      </list.item>
                    </list>
                    <para>
                      <paratext>The agreement therefore needs to specify the third parties to whom the discloser agrees the recipient may share its confidential information, and to impose conditions on what those third parties may and may not do with the confidential information.</paratext>
                    </para>
                    <para>
                      <paratext>The definition of Representatives here includes representatives, not only of each party, but also of any group companies of either party. This may not be relevant if neither party is part of a corporate group.</paratext>
                    </para>
                    <para>
                      <paratext>
                        This definition includes individuals that are generally acceptable to a commercial party. However, the parties should review it to ensure that this definition is appropriate in the context of the transaction and the information being disclosed. If the information is deemed particularly sensitive, disclosure should be restricted to a small group of specified individuals, or that disclosure may not be made to any person without the discloser's prior written consent. See also 
                        <internal.reference refid="a760491">Drafting note, Permitted disclosure</internal.reference>
                        <ital> </ital>
                        at 
                        <internal.reference refid="a420225">clause 4</internal.reference>
                        .
                      </paratext>
                    </para>
                  </division>
                </drafting.note>
              </defn.item>
              <defn.item id="a968154">
                <defn.term>Subsidiary</defn.term>
                <defn>
                  <para>
                    <paratext>
                      has the meaning given in 
                      <internal.reference refid="a545323">clause 1.2(e)</internal.reference>
                      .
                    </paratext>
                  </para>
                </defn>
              </defn.item>
            </subclause1>
            <subclause1 id="a711755">
              <identifier>1.2</identifier>
              <para>
                <paratext>
                  <bold>Interpretation</bold>
                </paratext>
              </para>
              <drafting.note id="a615027" jurisdiction="">
                <head align="left" preservecase="true">
                  <headtext>Interpretation</headtext>
                </head>
                <division id="a000008" level="1">
                  <para>
                    <paratext>
                      This interpretation clause only includes provisions which are relevant to this document. For a full list of interpretation clauses and information on these, see 
                      <link href="5-107-3795" style="ACTLinkPLCtoPLC">
                        <ital>Standard clause, Interpretation</ital>
                      </link>
                       and the integrated drafting notes.
                    </paratext>
                  </para>
                </division>
              </drafting.note>
              <subclause2 id="a290561">
                <identifier>(a)</identifier>
                <para>
                  <paratext>A reference to legislation or a legislative provision is a reference to it as amended, extended or re-enacted from time to time. A reference to legislation or a legislative provision includes all subordinate legislation made from time to time under that legislation or legislative provision.</paratext>
                </para>
                <drafting.note id="a200491" jurisdiction="">
                  <head align="left" preservecase="true">
                    <headtext>Legislative references</headtext>
                  </head>
                  <division id="a000009" level="1">
                    <para>
                      <paratext>
                        See 
                        <link anchor="a756967" href="5-107-3795" style="ACTLinkPLCtoPLC">
                          <ital>Standard clause, Interpretation: Drafting note: Legislative references</ital>
                        </link>
                         and 
                        <link anchor="a539369" href="5-107-3795" style="ACTLinkPLCtoPLC">
                          <ital>Standard clause, Interpretation: Drafting note: Legislative references and secondary legislation</ital>
                        </link>
                        .
                      </paratext>
                    </para>
                  </division>
                </drafting.note>
              </subclause2>
              <subclause2 id="a946899">
                <identifier>(b)</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2>
              <subclause2 id="a813964">
                <identifier>(c)</identifier>
                <para>
                  <paratext>
                    A reference to 
                    <bold>writing </bold>
                    or 
                    <bold>written</bold>
                     includes [fax and] email.
                  </paratext>
                </para>
                <drafting.note id="a160298" jurisdiction="">
                  <head align="left" preservecase="true">
                    <headtext>"Writing" and "written"</headtext>
                  </head>
                  <division id="a000010" level="1">
                    <para>
                      <paratext>
                        <internal.reference refid="a813964">Clause 1.2(c)</internal.reference>
                         permits notices and other communications to be given by email. Traditionally, email had been excluded as a valid means of communication, in part because of concerns about presumed receipt. However, notice by email is now more common place and 
                        <internal.reference refid="a101076">clause 13.6(b)</internal.reference>
                         provides that notice given by email is treated as received on transmission, the same as a fax, but you should consider whether this is acceptable, see 
                        <internal.reference refid="a878933">clause 13.6(d)</internal.reference>
                        .
                      </paratext>
                    </para>
                    <para>
                      <paratext>
                        Note that this clause does not apply to service of proceedings, see 
                        <internal.reference refid="a475531">clause 13.6(c)</internal.reference>
                        .
                      </paratext>
                    </para>
                    <para>
                      <paratext>
                        For more information about this issue, see 
                        <link href="3-107-3843" style="ACTLinkPLCtoPLC">
                          <ital>Practice note, Notice clauses</ital>
                        </link>
                        .
                      </paratext>
                    </para>
                  </division>
                </drafting.note>
              </subclause2>
              <subclause2 id="a672082">
                <identifier>(d)</identifier>
                <para>
                  <paratext>
                    A reference to a 
                    <bold>company</bold>
                     shall include any company, corporation or other body corporate, wherever and however incorporated or established.
                  </paratext>
                </para>
              </subclause2>
              <subclause2 id="a545323">
                <identifier>(e)</identifier>
                <para>
                  <paratext>
                    A reference to a 
                    <bold>holding company</bold>
                     or a 
                    <bold>subsidiary</bold>
                     means a holding company or a subsidiary (as the case may be) as defined in section 1159 of the Companies Act 2006 [and a company shall be treated, for the purposes only of the membership requirement contained in section 1159(1)(b) and (c), as a member of another company even if its shares in that other company are registered in the name of:
                  </paratext>
                </para>
                <subclause3 id="a748883">
                  <identifier>(i)</identifier>
                  <para>
                    <paratext>another person (or its nominee) by way of security or in connection with the taking of security; or</paratext>
                  </para>
                </subclause3>
                <subclause3 id="a836809">
                  <identifier>(ii)</identifier>
                  <para>
                    <paratext>its nominee].</paratext>
                  </para>
                  <drafting.note id="a436127" jurisdiction="">
                    <head align="left" preservecase="true">
                      <headtext>Holding company and subsidiary</headtext>
                    </head>
                    <division id="a000011" level="1">
                      <para>
                        <paratext>
                          For a discussion of the effects of the decision in 
                          <link href="4-505-6155" style="ACTLinkPLCtoPLC">
                            <ital>Farstad Supply AS v Enviroco Ltd [2011] UKSC 16</ital>
                          </link>
                           on the interpretation of "holding company" and "subsidiary", see the integrated drafting notes to 
                          <link anchor="a328241" href="5-107-3795" style="ACTLinkPLCtoPLC">
                            <ital>Standard clause, Interpretation: Clause 1.6</ital>
                          </link>
                          .
                        </paratext>
                      </para>
                    </division>
                  </drafting.note>
                </subclause3>
              </subclause2>
              <subclause2 id="a137537">
                <identifier>(f)</identifier>
                <para>
                  <paratext>Any obligation on a party not to do something includes an obligation not to allow that thing to be done.</paratext>
                </para>
              </subclause2>
            </subclause1>
          </clause>
          <clause id="a640922">
            <identifier>2.</identifier>
            <head align="left" preservecase="true">
              <headtext>Confidential Information</headtext>
            </head>
            <drafting.note id="a848824" jurisdiction="">
              <head align="left" preservecase="true">
                <headtext>Confidential information</headtext>
              </head>
              <division id="a308058" level="1">
                <head align="left" preservecase="true">
                  <headtext>Scope of definition</headtext>
                </head>
                <para>
                  <paratext>
                    In order to be capable of protection as confidential information, the information in question must have the "necessary quality of confidence" (
                    <link href="D-015-4288" style="ACTLinkURL">
                      <ital>Saltman Engineering Co Ltd v Campbell Engineering Co Ltd [1948] 65 RPC 203</ital>
                    </link>
                     and 
                    <link href="D-000-4101" style="ACTLinkURL">
                      <ital>Coco v AN Clark (Engineers) Ltd [1969] RPC 41</ital>
                    </link>
                    ).
                  </paratext>
                </para>
                <para>
                  <paratext>It may be tempting to make the definition of confidential information as wide as possible, for example, by describing all information disclosed by a party as confidential. But merely describing information as confidential will not, of itself, turn information which is not inherently confidential into confidential information. Taking such an approach carries the risk that the courts will find the definition so wide that they refuse to uphold the agreement in respect of even genuinely confidential parts of the package of information.</paratext>
                </para>
                <para>
                  <paratext>It is therefore necessary to weigh up the risk of using a widely drawn definition of confidential information that may not be upheld by the courts, against the risk of using a definition that is too narrow to catch the information the parties wish to protect.</paratext>
                </para>
                <para>
                  <paratext>A typical definition of confidential information will generally cover some or all of the following types of information:</paratext>
                </para>
                <list type="bulleted">
                  <list.item>
                    <para>
                      <paratext>Information about the other party's business and affairs.</paratext>
                    </para>
                  </list.item>
                  <list.item>
                    <para>
                      <paratext>Technical information, for example, processing know-how.</paratext>
                    </para>
                  </list.item>
                  <list.item>
                    <para>
                      <paratext>Information developed by the parties during the course of their contractual relationship which contains, or was inspired by, information disclosed under the contract.</paratext>
                    </para>
                  </list.item>
                  <list.item>
                    <para>
                      <paratext>The fact that the parties are in discussions about the purpose.</paratext>
                    </para>
                  </list.item>
                </list>
                <para>
                  <paratext>
                    For further information on the definition of confidential information, see 
                    <link anchor="a599459" href="8-384-4456" style="ACTLinkPLCtoPLC">
                      <ital>Practice note, Protecting confidential information: overview: What types of information can be protected?</ital>
                    </link>
                    .
                  </paratext>
                </para>
                <division id="a287253" level="2">
                  <head align="left" preservecase="true">
                    <headtext>Drafting approach</headtext>
                  </head>
                  <para>
                    <paratext>
                      This document includes a general definition of confidential information that includes the word "confidential". This effectively leaves the courts to decide the information that is to be regarded as confidential information, applying the tests laid down in 
                      <ital>Coco v Clark</ital>
                      . The merit of this approach is that it is less likely to fall foul of the courts for being too wide; the disadvantage is that it does not convey with certainty exactly what information is captured by the definition. 
                      <internal.reference refid="a657628">clause 2.1(f)</internal.reference>
                       addresses this in part by allowing the parties to specify certain information as confidential by use of a schedule.
                    </paratext>
                  </para>
                  <para>
                    <paratext>Another approach to defining confidential information is to define it as information marked or otherwise indicated as "confidential" by the parties. But this approach is vulnerable to human mistake and, in addition, indiscriminate marking of materials as "confidential" may devalue the term.</paratext>
                  </para>
                </division>
                <division id="a664461" level="2">
                  <head align="left" preservecase="true">
                    <headtext>Trade secrets</headtext>
                  </head>
                  <para>
                    <paratext>
                      In 2018 the 
                      <link href="w-014-9127" style="ACTLinkPLCtoPLC">
                        <ital>Trade Secrets Regulations</ital>
                      </link>
                       came into force, which implemented the 
                      <link href="w-015-1298" style="ACTLinkPLCtoPLC">
                        <ital>Trade Secrets Directive</ital>
                      </link>
                       in the UK. The Trade Secrets Regulations provide for a statutory definition of "trade secret" in 
                      <link href="w-014-9386" style="ACTLinkPLCtoPLC">
                        <ital>regulation 2</ital>
                      </link>
                      <ital>.</ital>
                       This statutory definition appears to differ from the common law requirements by the need for the secret to have been subject to reasonable steps by the holder of the information to keep it secret:
                    </paratext>
                  </para>
                  <display.quote>
                    <para>
                      <paratext>"information which</paratext>
                    </para>
                  </display.quote>
                  <display.quote>
                    <para>
                      <paratext>(a) is secret in the sense that it is not, as a body or in the precise configuration and assembly of its components, generally known among, or readily accessible to, persons within the circles that normally deal with the kind of information in question,</paratext>
                    </para>
                  </display.quote>
                  <display.quote>
                    <para>
                      <paratext>(b) has commercial value because it is secret, and</paratext>
                    </para>
                  </display.quote>
                  <display.quote>
                    <para>
                      <paratext>(c) has been subject to reasonable steps under the circumstances, by the person lawfully in control of the information, to keep it secret."</paratext>
                    </para>
                  </display.quote>
                  <para>
                    <paratext>
                      It was initially unclear whether this new statutory regime resulted in a different scope of protection between the two regimes (the statutory protection versus the equitable protection of a trade secret). However, the High Court has since specifically referred to the Trade Secrets Directive in the context of the equitable duty of confidence in 
                      <link href="https://uk.practicallaw.thomsonreuters.com/D-104-7896?originationContext=document&amp;amp;transitionType=PLDocumentLink&amp;amp;contextData=%28sc.Default%29&amp;amp;comp=pluk" style="ACTLinkURL">
                        <ital>Trailfinders Ltd v Travel Counsellors Ltd &amp; Ors [2020] EWHC 591 (IPEC)</ital>
                      </link>
                      , where the judge acknowledged that the substantive principles governing the protection of confidential information under English law, including that afforded by equitable obligations of confidence and terms implied into contracts of employment, are unaffected by the Trade Secrets Directive. The judge stated that "the Directive shines an occasional light on those principles". Statements of interest in the judgment include the fact that the Trade Secrets Directive:
                    </paratext>
                  </para>
                  <list type="bulleted">
                    <list.item>
                      <para>
                        <paratext>Uses the term "trade secrets" broadly, covering any sort of confidential information.</paratext>
                      </para>
                    </list.item>
                    <list.item>
                      <para>
                        <paratext>
                          Provides a definition of trade secret (
                          <ital>article 2(1)</ital>
                          ) which is now the "best guide" to the distinction between information which is confidential and that which is not.
                        </paratext>
                      </para>
                    </list.item>
                  </list>
                  <para>
                    <paratext>
                      As far as we are aware, this is the first judicial reference made to the Trade Secrets Directive shedding some light on its interplay with the equitable duty of confidence. (See 
                      <link href="https://uk.practicallaw.thomsonreuters.com/w-024-5374?originationContext=document&amp;amp;transitionType=DocumentItem&amp;amp;contextData=%28sc.Default%29&amp;amp;comp=pluk" style="ACTLinkURL">
                        <ital>Legal update, Equitable duty of confidence not affected by Trade Secrets Directive (High Court)</ital>
                      </link>
                      ). The Court of Appeal went on to dismiss an appeal of this decision in 
                      <link href="https://www.bailii.org/ew/cases/EWCA/Civ/2021/38.html" style="ACTLinkURL">
                        <ital>Travel Counsellors Ltd v Trailfinders Ltd [2021] EWCA Civ 38</ital>
                      </link>
                       and did not make any further comment on the interplay of the two regimes (see 
                      <link href="https://uk.practicallaw.thomsonreuters.com/Document/I2ca5d9ce5a7211ebbea4f0dc9fb69570/View/FullText.html?navigationPath=Search%2Fv1%2Fresults%2Fnavigation%2Fi0ad73aa70000017729cac170d6dad16b%3FNav%3DKNOWHOW_UK%26fragmentIdentifier%3DI2ca5d9ce5a7211ebbea4f0dc9fb69570%26parentRank%3D0%26startIndex%3D1%26contextData%3D%2528sc.Search%2529%26transitionType%3DSearchItem&amp;amp;listSource=Search&amp;amp;listPageSource=96d715f4e81fd2b9d9031162325354a0&amp;amp;list=KNOWHOW_UK&amp;amp;rank=1&amp;amp;sessionScopeId=d072813353aa1c86748a6196029852dba3edf39143044c9b4618867bcfb886f3&amp;amp;originationContext=Search+Result&amp;amp;transitionType=SearchItem&amp;amp;contextData=%28sc.Search%29&amp;amp;comp=pluk" style="ACTLinkURL">
                        <ital>Legal update, Recipient of information may be obliged to enquire whether it is confidential (Court of Appeal)</ital>
                      </link>
                      ).
                    </paratext>
                  </para>
                  <para>
                    <paratext>In any event, it is probably advisable for any definition of confidential information used in a confidentiality agreement to at least accord with the statutory definition.</paratext>
                  </para>
                  <para>
                    <paratext>
                      For further information see 
                      <link href="https://uk.practicallaw.thomsonreuters.com/w-021-1676?originationContext=document&amp;amp;transitionType=DocumentItem&amp;amp;contextData=(sc.Default)" style="ACTLinkURL">
                        <ital>Practice note, Protecting trade secrets: overview</ital>
                      </link>
                      .
                    </paratext>
                  </para>
                </division>
                <division id="a172826" level="2">
                  <head align="left" preservecase="true">
                    <headtext>Timing of disclosure of confidential information</headtext>
                  </head>
                  <para>
                    <paratext>
                      Ideally, a confidentiality agreement will have been entered into before any confidential information is disclosed. But this may not always occur in practice. The optional wording in 
                      <internal.reference refid="a421681">clause 2.1</internal.reference>
                       "[before, on or after the date of this agreement]" extends the parties' obligations to capture the disclosure of relevant information before the confidentiality agreement is signed.
                    </paratext>
                  </para>
                  <para>
                    <paratext>
                      But note that if information is disclosed before the agreement is signed, there is a risk that the recipient's obligations will not be enforceable with regard to that information on the grounds that past consideration is no consideration. For options on dealing with this, see 
                      <internal.reference refid="a408451">Drafting note, Legal issues</internal.reference>
                      .
                    </paratext>
                  </para>
                </division>
              </division>
            </drafting.note>
            <subclause1 id="a421681">
              <identifier>2.1</identifier>
              <para>
                <paratext>
                  <bold>Confidential Information</bold>
                   means all confidential information relating to the Purpose which Party 1 or its Representatives [or any of its Group Companies, or their Representatives] directly or indirectly discloses, or makes available, to Party 2 or its Representatives [or any of its Group Companies, or their Representatives][, before, on or after the date of this agreement]. This includes:
                </paratext>
              </para>
              <subclause2 id="a905142">
                <identifier>(a)</identifier>
                <para>
                  <paratext>the fact that discussions and negotiations are taking place concerning the Purpose and the status of those discussions and negotiations;</paratext>
                </para>
              </subclause2>
              <subclause2 condition="optional" id="a391529">
                <identifier>(b)</identifier>
                <para>
                  <paratext>the [existence and] terms of this agreement;</paratext>
                </para>
                <drafting.note id="a854534" jurisdiction="">
                  <head align="left" preservecase="true">
                    <headtext>The agreement itself (optional clause)</headtext>
                  </head>
                  <division id="a000012" level="1">
                    <para>
                      <paratext>The discloser may wish to protect any of the existence, subject matter and terms of this agreement, and not just the information disclosed under it.</paratext>
                    </para>
                  </division>
                </drafting.note>
              </subclause2>
              <subclause2 id="a357981">
                <identifier>(c)</identifier>
                <para>
                  <paratext>all confidential or proprietary information relating to:</paratext>
                </para>
                <subclause3 id="a823584">
                  <identifier>(i)</identifier>
                  <para>
                    <paratext>
                      the business, assets, affairs, customers, clients, suppliers[, 
                      <bold>OR</bold>
                       or] plans[, intentions, or market opportunities] of Party 1 [or of any of Party 1's Group Companies]; and
                    </paratext>
                  </para>
                </subclause3>
                <subclause3 id="a380516">
                  <identifier>(ii)</identifier>
                  <para>
                    <paratext>the operations, processes, product information, know-how, technical information, designs, trade secrets or software of Party 1[, or of any of Party 1's Group Companies];</paratext>
                  </para>
                </subclause3>
              </subclause2>
              <subclause2 id="a310788">
                <identifier>(d)</identifier>
                <para>
                  <paratext>any information, findings, data or analysis derived from Confidential Information; [and]</paratext>
                </para>
              </subclause2>
              <subclause2 id="a874931">
                <identifier>(e)</identifier>
                <para>
                  <paratext>
                    any other information that is identified as being of a confidential or proprietary nature[; and 
                    <bold>OR</bold>
                     .]
                  </paratext>
                </para>
              </subclause2>
              <subclause2 condition="optional" id="a657628">
                <identifier>(f)</identifier>
                <para>
                  <paratext>any information detailed in Schedule [NUMBER],</paratext>
                </para>
              </subclause2>
              <para>
                <paratext>
                  but excludes any information referred to in 
                  <internal.reference refid="a600860">clause 2.2</internal.reference>
                  .
                </paratext>
              </para>
            </subclause1>
            <subclause1 id="a600860">
              <identifier>2.2</identifier>
              <para>
                <paratext>Information is not Confidential Information if:</paratext>
              </para>
              <subclause2 id="a895488">
                <identifier>(a)</identifier>
                <para>
                  <paratext>it is, or becomes, generally available to the public other than as a direct or indirect result of the information being disclosed by Party 2 or its Representatives [or by any of Party 2's Group Companies or their Representatives] in breach of this agreement [(except that any compilation of otherwise public information in a form not publicly known shall still be treated as Confidential Information)];</paratext>
                </para>
              </subclause2>
              <subclause2 id="a994113">
                <identifier>(b)</identifier>
                <para>
                  <paratext>it was available to Party 2 on a non-confidential basis prior to disclosure by Party 1;</paratext>
                </para>
              </subclause2>
              <subclause2 id="a220762">
                <identifier>(c)</identifier>
                <para>
                  <paratext>it was, is, or becomes available to Party 2 on a non-confidential basis from a person who, to Party 2's knowledge, is not under any confidentiality obligation in respect of that information;</paratext>
                </para>
              </subclause2>
              <subclause2 id="a744975">
                <identifier>(d)</identifier>
                <para>
                  <paratext>it was lawfully in the possession of Party 2 before the information was disclosed by Party 1; [and]</paratext>
                </para>
              </subclause2>
              <subclause2 id="a907456">
                <identifier>(e)</identifier>
                <para>
                  <paratext>[it is developed by or for Party 2 independently of the information disclosed by Party 1 [and Party 2 provides documentary evidence of such independence to the reasonable satisfaction of Party 1]; and]</paratext>
                </para>
              </subclause2>
              <subclause2 id="a575434">
                <identifier>(f)</identifier>
                <para>
                  <paratext>the parties agree in writing that the information is not confidential.</paratext>
                </para>
                <drafting.note id="a302796" jurisdiction="">
                  <head align="left" preservecase="true">
                    <headtext>Carve-outs: information that is not confidential information</headtext>
                  </head>
                  <division id="a000013" level="1">
                    <para>
                      <paratext>Most disclosing parties will accept certain standard carve-outs to the definition of confidential information. The definition will usually contain carve-outs in respect of information that is in the public domain, or that the recipient already possesses or has received from another source.</paratext>
                    </para>
                    <division id="a000014" level="2">
                      <division id="a974641" level="3">
                        <head align="left" preservecase="true">
                          <headtext>Information presented in confidential manner: subclause (a)</headtext>
                        </head>
                        <para>
                          <paratext>
                            But while certain information may already be publicly available, the way it is presented to the recipient may be unique or difficult to replicate. In such cases, the discloser may want to keep the particular compilation of the information confidential. If so, include the wording in square brackets at the end of 
                            <internal.reference refid="a895488">clause 2.2(a)</internal.reference>
                            .
                          </paratext>
                        </para>
                      </division>
                      <division id="a271536" level="3">
                        <head align="left" preservecase="true">
                          <headtext>Information developed independently: subclause (e)</headtext>
                        </head>
                        <para>
                          <paratext>
                            The discloser may also agree to exclude information that was independently developed by the recipient without using the disclosing party's confidential information. This allows the recipient to create, develop, or pursue a project in the future that may be similar to the project contemplated by the agreement here. If the discloser agrees to this carve-out, include 
                            <internal.reference refid="a907456">clause 2.2(e)</internal.reference>
                            . The discloser may want to include a requirement for the recipient to provide documentary evidence that the information was indeed developed independently. If so, include the words in square brackets at the end of 
                            <internal.reference refid="a907456">clause 2.2(e)</internal.reference>
                            . Note that the recipient is likely to prefer not to include this requirement as it may be practically difficult to provide such documentary evidence.
                          </paratext>
                        </para>
                      </division>
                    </division>
                  </division>
                </drafting.note>
              </subclause2>
            </subclause1>
          </clause>
          <clause id="a972850">
            <identifier>3.</identifier>
            <head align="left" preservecase="true">
              <headtext>Confidentiality obligations</headtext>
            </head>
            <drafting.note id="a902240" jurisdiction="">
              <head align="left" preservecase="true">
                <headtext>Confidentiality obligations</headtext>
              </head>
              <division id="a000015" level="1">
                <para>
                  <paratext>The recipient should agree to:</paratext>
                </para>
                <list type="bulleted">
                  <list.item>
                    <para>
                      <paratext>Preserve the confidentiality of the information disclosed to it.</paratext>
                    </para>
                  </list.item>
                  <list.item>
                    <para>
                      <paratext>Use the confidential information only for the purpose. Without this restriction, the recipient would be free to use the confidential information for its own purposes to compete with the discloser or obtain some other commercial advantage.</paratext>
                    </para>
                  </list.item>
                </list>
                <division id="a444419" level="2">
                  <head align="left" preservecase="true">
                    <headtext>Drafting approach</headtext>
                  </head>
                  <para>
                    <paratext>
                      The obligations in 
                      <internal.reference refid="a403426">clause 3.1(a)</internal.reference>
                       to 
                      <internal.reference refid="a246211">clause 3.1(c)</internal.reference>
                       are the minimum requirements which the discloser should include. The remaining are optional and can be included if required. Whether or not the discloser decides to include the additional requirements will depend on the sensitivity and value of the information. The more onerous the obligation, the more likely that the recipient will resist it.
                    </paratext>
                  </para>
                </division>
              </division>
            </drafting.note>
            <subclause1 id="a944856">
              <identifier>3.1</identifier>
              <para>
                <paratext>In return for Party 1 making Confidential Information available to Party 2, Party 2 undertakes to Party 1 that it shall:</paratext>
              </para>
              <subclause2 id="a403426">
                <identifier>(a)</identifier>
                <para>
                  <paratext>keep the Confidential Information secret and confidential;</paratext>
                </para>
              </subclause2>
              <subclause2 id="a987679">
                <identifier>(b)</identifier>
                <para>
                  <paratext>not use or exploit the Confidential Information in any way except for the Purpose;</paratext>
                </para>
              </subclause2>
              <subclause2 id="a246211">
                <identifier>(c)</identifier>
                <para>
                  <paratext>not directly or indirectly disclose or make available any Confidential Information in whole or in part to any person, except as expressly permitted by, and in accordance with this agreement;</paratext>
                </para>
              </subclause2>
              <subclause2 condition="optional" id="a602799">
                <identifier>(d)</identifier>
                <para>
                  <paratext>not copy, reduce to writing or otherwise record the Confidential Information except as strictly necessary for the Purpose. Any such copies, reductions to writing and records shall be the property of Party 1;</paratext>
                </para>
              </subclause2>
              <subclause2 condition="optional" id="a334360">
                <identifier>(e)</identifier>
                <para>
                  <paratext>not use, reproduce, transform or store the Confidential Information in an externally accessible computer or electronic information retrieval system or transmit it in any form or by any means outside its usual place of business;</paratext>
                </para>
              </subclause2>
              <subclause2 condition="optional" id="a684693">
                <identifier>(f)</identifier>
                <para>
                  <paratext>apply the same security measures and degree of care to the Confidential Information as Party 2 applies to its own confidential information, which Party 2 warrants as providing adequate protection from unauthorised disclosure, copying or use;</paratext>
                </para>
              </subclause2>
              <subclause2 condition="optional" id="a846132">
                <identifier>(g)</identifier>
                <para>
                  <paratext>keep a written record of:</paratext>
                </para>
                <subclause3 id="a542029">
                  <identifier>(i)</identifier>
                  <para>
                    <paratext>any document or Confidential Information received from Party 1 in tangible form; and</paratext>
                  </para>
                </subclause3>
                <subclause3 id="a991863">
                  <identifier>(ii)</identifier>
                  <para>
                    <paratext>any copies made of the Confidential Information;</paratext>
                  </para>
                </subclause3>
              </subclause2>
              <subclause2 condition="optional" id="a920151">
                <identifier>(h)</identifier>
                <para>
                  <paratext>
                    ensure that any document or other records containing Confidential Information shall be kept at its premises at [PREMISES] and shall not remove or allow those documents and records to be moved from those premises[; and 
                    <bold>OR</bold>
                    .]
                  </paratext>
                </para>
              </subclause2>
              <subclause2 condition="optional" id="a487712">
                <identifier>(i)</identifier>
                <para>
                  <paratext>[INCLUDE ANY OTHER SPECIFIC REQUIREMENTS.]</paratext>
                </para>
              </subclause2>
            </subclause1>
            <subclause1 id="a163012">
              <identifier>3.2</identifier>
              <para>
                <paratext>Party 2 shall establish and maintain adequate security measures (including any reasonable security measures proposed by Party 1 from time to time) to safeguard the Confidential Information from unauthorised access or use.</paratext>
              </para>
            </subclause1>
          </clause>
          <clause id="a420225">
            <identifier>4.</identifier>
            <head align="left" preservecase="true">
              <headtext>Permitted disclosure</headtext>
            </head>
            <drafting.note id="a760491" jurisdiction="">
              <head align="left" preservecase="true">
                <headtext>Permitted disclosure</headtext>
              </head>
              <division id="a000016" level="1">
                <para>
                  <paratext>
                    This clause allows for disclosure of the confidential information to representatives, provided that certain requirements are met. See 
                    <internal.reference refid="a809394">Drafting note, Representatives</internal.reference>
                     at 
                    <internal.reference refid="a490181">clause 1.1</internal.reference>
                     for a discussion of this definition.
                  </paratext>
                </para>
                <division id="a932578" level="2">
                  <head align="left" preservecase="true">
                    <headtext>Ensuring that representatives comply with the terms of the agreement</headtext>
                  </head>
                  <para>
                    <paratext>
                      Because there is no privity of contract between the discloser and the recipient's representatives, 
                      <internal.reference refid="a114453">clause 4.1(b)</internal.reference>
                       provides that the recipient shall procure that its representatives comply with the confidentiality obligations in the agreement.
                    </paratext>
                  </para>
                  <para>
                    <paratext>Whether a recipient accepts this would depend on the following:</paratext>
                  </para>
                  <list type="bulleted">
                    <list.item>
                      <para>
                        <paratext>The extent to which it can, in practice, control or influence the actions of the representatives.</paratext>
                      </para>
                    </list.item>
                    <list.item>
                      <para>
                        <paratext>The available avenues of recourse against the representatives if they breach the terms of this agreement.</paratext>
                      </para>
                    </list.item>
                  </list>
                  <division id="a376906" level="3">
                    <head align="left" preservecase="true">
                      <headtext>Individual undertakings from representatives</headtext>
                    </head>
                    <para>
                      <paratext>
                        In circumstances where the information is particularly sensitive, the discloser may require the additional right to enforce the confidentiality undertakings directly against the representatives by means of a separate confidentiality undertaking with each individual representative, or by requiring that the recipient enters into a separate undertaking with each of its representatives. See the optional wording in 
                        <internal.reference refid="a114453">clause 4.1(b)</internal.reference>
                        . For an example letter agreement to meet this requirement, see 
                        <link href="1-592-6085" style="ACTLinkPLCtoPLC">
                          <ital>Standard document, Confidentiality letter: individual representative agreeing to be bound by a confidentiality agreement</ital>
                        </link>
                        .
                      </paratext>
                    </para>
                    <para>
                      <paratext>
                        But a recipient may find this requirement too onerous and may try to argue that confidentiality clauses in employment or consultancy agreements will be considered sufficient. If so, the discloser may want to seek a warranty from the recipient that such clauses have indeed been included in those agreements. For further information on confidentiality in an employment relationship, see 
                        <link anchor="a920102" href="8-384-4456" style="ACTLinkPLCtoPLC">
                          <ital>Practice note, Protecting confidential information: overview: Confidentiality obligations in an employment relationship</ital>
                        </link>
                        .
                      </paratext>
                    </para>
                  </division>
                </division>
                <division id="a666383" level="2">
                  <head align="left" preservecase="true">
                    <headtext>Disclosure to the Serious Fraud office relating to Bribery Act 2010 offences</headtext>
                  </head>
                  <para>
                    <paratext>
                      If the recipient receives confidential information which causes it to suspect that the discloser may be involved in bribery in breach of the 
                      <link href="1-503-8422" style="ACTLinkPLCtoPLC">
                        <ital>Bribery Act 2010</ital>
                      </link>
                       (BA 2010), the recipient may want to report this to the Serious Fraud Office (SFO) pursuant to the SFO's self-reporting policy. In doing so, the recipient may be in breach of its confidentiality obligations if this involves the disclosure of the discloser's confidential information.
                    </paratext>
                  </para>
                  <para>
                    <paratext>
                      A discloser should note that a recipient may therefore want to include a carve-out expressly allowing for disclosure of confidential information under the BA 2010, without giving prior notice to the discloser. For an example of this clause, see 
                      <link anchor="a311283" href="0-384-4083" style="ACTLinkPLCtoPLC">
                        <ital>Standard document, Confidentiality agreement : Clause 4.2 </ital>
                      </link>
                      .
                    </paratext>
                  </para>
                  <para>
                    <paratext>
                      For further information on the BA 2010 generally, see 
                      <link href="4-506-7875" style="ACTLinkPLCtoPLC">
                        <ital>Practice note, Bribery Act 2010: application to commercial agreements</ital>
                      </link>
                      .
                    </paratext>
                  </para>
                </division>
              </division>
            </drafting.note>
            <subclause1 id="a603176">
              <identifier>4.1</identifier>
              <para>
                <paratext>Party 2 may disclose the Confidential Information to its Representatives[, any of its Group Companies, or their Representatives] on the basis that it:</paratext>
              </para>
              <subclause2 id="a285365">
                <identifier>(a)</identifier>
                <para>
                  <paratext>informs those Representatives[, Group Companies, or their Representatives] of the confidential nature of the Confidential Information before it is disclosed; [and]</paratext>
                </para>
              </subclause2>
              <subclause2 id="a114453">
                <identifier>(b)</identifier>
                <para>
                  <paratext>
                    procures that those Representatives[, Group Companies, or their Representatives] comply with the confidentiality obligations in 
                    <internal.reference refid="a944856">clause 3.1</internal.reference>
                     as if they were Party 2 [and if Party 1 so requests, procure that any of them enters into a confidentiality agreement with Party 1 on terms equivalent to those contained in this agreement][; and 
                    <bold>OR</bold>
                     .]
                  </paratext>
                </para>
              </subclause2>
              <subclause2 condition="optional" id="a944461">
                <identifier>(c)</identifier>
                <para>
                  <paratext>keeps a written record of those persons.</paratext>
                </para>
              </subclause2>
            </subclause1>
            <subclause1 id="a853394">
              <identifier>4.2</identifier>
              <para>
                <paratext>Party 2 shall be liable for the actions or omissions of its Representatives, [any of its Group Companies, or their Representatives] in relation to the Confidential Information as if they were the actions or omissions of Party 2.</paratext>
              </para>
            </subclause1>
          </clause>
          <clause id="a842695">
            <identifier>5.</identifier>
            <head align="left" preservecase="true">
              <headtext>Mandatory disclosure</headtext>
            </head>
            <drafting.note id="a315364" jurisdiction="">
              <head align="left" preservecase="true">
                <headtext>Mandatory disclosure</headtext>
              </head>
              <division id="a000017" level="1">
                <para>
                  <paratext>This clause recognises that in certain circumstances, the recipient may be forced by law or a regulatory authority (such as HMRC) to disclose confidential information. While the courts are unlikely to look sympathetically on the discloser's claim for breach of contract where the recipient was required to make a disclosure, it is preferable that the confidentiality agreement expressly permits such disclosures. Only those disclosures that are specifically required by these authorities should be permitted and the confidentiality obligations should not be relaxed overall.</paratext>
                </para>
              </division>
            </drafting.note>
            <subclause1 id="a392560">
              <identifier>5.1</identifier>
              <para>
                <paratext>
                  Subject to the provisions of this 
                  <internal.reference refid="a842695">clause 5</internal.reference>
                  , Party 2 may disclose Confidential Information to the minimum extent required by:
                </paratext>
              </para>
              <subclause2 id="a733464">
                <identifier>(a)</identifier>
                <para>
                  <paratext>an order of any court of competent jurisdiction or any regulatory, judicial, governmental or similar body or any taxation authority of competent jurisdiction;</paratext>
                </para>
              </subclause2>
              <subclause2 id="a373389">
                <identifier>(b)</identifier>
                <para>
                  <paratext>the rules of any listing authority or stock exchange on which its shares are listed or traded; or</paratext>
                </para>
              </subclause2>
              <subclause2 id="a105262">
                <identifier>(c)</identifier>
                <para>
                  <paratext>the laws or regulations of any country to which its affairs are subject.</paratext>
                </para>
              </subclause2>
            </subclause1>
            <subclause1 id="a312611">
              <identifier>5.2</identifier>
              <para>
                <paratext>
                  Before Party 2 discloses any Confidential Information pursuant to 
                  <internal.reference refid="a392560">clause 5.1</internal.reference>
                   it shall, to the extent permitted by law, give Party 1 as much notice of this disclosure as possible. Where notice of such disclosure is not prohibited and is given in accordance with 
                  <internal.reference refid="a312611">clause 5.2</internal.reference>
                  , Party 2 shall take into account Party 1's requests in relation to the content of this disclosure.
                </paratext>
              </para>
              <drafting.note id="a492925" jurisdiction="">
                <head align="left" preservecase="true">
                  <headtext>Notifying the other party</headtext>
                </head>
                <division id="a000018" level="1">
                  <para>
                    <paratext>While the discloser cannot prevent the recipient from making a required disclosure, it can attempt to retain a degree of control by requiring the recipient, where possible and practicable, to give it notice before making the disclosure, and, in addition, cooperate with the discloser to control the terms of the disclosure as far as practicable.</paratext>
                  </para>
                  <para>
                    <paratext>
                      But this is not always possible. In some circumstances, the recipient may be prevented by law from notifying the discloser before a required disclosure is made. For example, where the disclosure obligation arises under the 
                      <link href="6-505-7413" style="ACTLinkPLCtoPLC">
                        <ital>Proceeds of Crime Act 2002</ital>
                      </link>
                      .
                    </paratext>
                  </para>
                  <para>
                    <paratext>
                      For a longer form version of this clause that sets out specific steps that the parties should take before the required disclosure is made, see 
                      <link href="8-107-5019#a666464" style="ACTLinkPLCtoPLC">
                        <ital>Standard document, Confidentiality agreement: corporate seller: acquisitions: clause 5.2</ital>
                      </link>
                      .
                    </paratext>
                  </para>
                </division>
              </drafting.note>
            </subclause1>
            <subclause1 id="a199974">
              <identifier>5.3</identifier>
              <para>
                <paratext>
                  If Party 2 is unable to inform Party 1 before Confidential Information is disclosed pursuant to 
                  <internal.reference refid="a392560">clause 5.1</internal.reference>
                   it shall, to the extent permitted by law, inform Party 1 of the full circumstances of the disclosure and the information that has been disclosed as soon as reasonably practicable after such disclosure has been made.
                </paratext>
              </para>
              <drafting.note id="a519439" jurisdiction="">
                <head align="left" preservecase="true">
                  <headtext>Notification after disclosure is made</headtext>
                </head>
                <division id="a000019" level="1">
                  <para>
                    <paratext>As noted above, the recipient may be prevented by law from notifying the discloser before a required disclosure is made. However, this clause will be useful if disclosure after the event is allowed.</paratext>
                  </para>
                </division>
              </drafting.note>
            </subclause1>
          </clause>
          <clause id="a560722">
            <identifier>6.</identifier>
            <head align="left" preservecase="true">
              <headtext>Return or destruction of Confidential Information</headtext>
            </head>
            <drafting.note id="a446671" jurisdiction="">
              <head align="left" preservecase="true">
                <headtext>Return or destruction of confidential information</headtext>
              </head>
              <division id="a000020" level="1">
                <para>
                  <paratext>A clause requiring the return or destruction of confidential information on the discloser's request is common in most confidentiality agreements.</paratext>
                </para>
                <para>
                  <paratext>
                    In 
                    <link href="D-037-5381" style="ACTLinkURL">
                      <ital>Arthur J Gallagher (UK) Ltd and others v Skriptchenko and others [2016] EWHC 603 (QB)</ital>
                    </link>
                    , the High Court ordered an injunction for the defendant to destroy the applicant's confidential information which were stored on the defendants' devices (see 
                    <link href="2-628-3186" style="ACTLinkPLCtoPLC">
                      <ital>Legal update, High Court orders destruction of confidential information on defendants' computers</ital>
                    </link>
                    ). This decision may encourage the recipient to comply with such a clause as the courts have shown a willingness to grant an order for the destruction of confidential information. The presence of such a clause could also influence a court in favour of granting an order to destroy confidential information.
                  </paratext>
                </para>
              </division>
            </drafting.note>
            <subclause1 id="a551108">
              <identifier>6.1</identifier>
              <para>
                <paratext>If so requested by Party 1 at any time by notice in writing to Party 2, Party 2 shall promptly:</paratext>
              </para>
              <subclause2 id="a678390">
                <identifier>(a)</identifier>
                <para>
                  <paratext>destroy [or return to Party 1] or permanently erase (including, to the extent legally and technically practicable, from its computer(s) and communications systems and devices or from systems and data storage services provided by third parties) all documents and materials [(and any copies)] containing, reflecting, incorporating or based on any Confidential Information; and</paratext>
                </para>
                <drafting.note id="a503280" jurisdiction="">
                  <head align="left" preservecase="true">
                    <headtext>Destroy or return?</headtext>
                  </head>
                  <division id="a000021" level="1">
                    <para>
                      <paratext>A discloser may prefer that the recipient returns the confidential information, instead of destroying it. If so, delete the reference to "destroy" in this clause. Although question how practical or even workable this is when confidential information is increasingly being shared in electronic form.</paratext>
                    </para>
                  </division>
                  <division id="a219572" level="1">
                    <head align="left" preservecase="true">
                      <headtext>Third party data storage</headtext>
                    </head>
                    <para>
                      <paratext>A party's data will often be held by a third party on a dispersed basis (that is, mixed with other people's information on the same server), or via cloud solutions, making the data mirrored in a number of locations. In this instance, an absolute obligation to delete or erase the confidential information from the third party's servers is likely to be technically impossible, hence the wording "to the extent legally and technically practicable". The discloser will of course have to decide if it is willing to permit the recipient to store information in this way and the recipient should ensure that whatever obligations in relation to erasure it agrees to in clause 6.1(a) can be reflected in its contractual arrangements with its third party data storage provider.</paratext>
                    </para>
                  </division>
                </drafting.note>
              </subclause2>
              <subclause2 id="a370301">
                <identifier>(b)</identifier>
                <para>
                  <paratext>
                    certify in writing to Party 1 that it has complied with the requirements of this 
                    <internal.reference refid="a551108">clause 6.1</internal.reference>
                    .
                  </paratext>
                </para>
              </subclause2>
            </subclause1>
            <subclause1 id="a158830">
              <identifier>6.2</identifier>
              <para>
                <paratext>
                  Nothing in 
                  <internal.reference refid="a551108">clause 6.1</internal.reference>
                   shall require Party 2 to return or destroy any documents and materials containing or based on the Confidential Information that Party 2 is required to retain by applicable law, or to satisfy the requirements of a regulatory authority or body of competent jurisdiction or the rules of any listing authority or stock exchange, to which it is subject. The provisions of this agreement shall continue to apply to any documents and materials retained by Party 2 pursuant to this 
                  <internal.reference refid="a158830">clause 6.2</internal.reference>
                  .
                </paratext>
              </para>
              <drafting.note id="a903623" jurisdiction="">
                <head align="left" preservecase="true">
                  <headtext>Right to retain certain materials</headtext>
                </head>
                <division id="a000022" level="1">
                  <para>
                    <paratext>
                      <internal.reference refid="a158830">Clause 6.2</internal.reference>
                       ensures that the obligations in 
                      <internal.reference refid="a551108">clause 6.1</internal.reference>
                       do not extend to information that the recipient is required to retain by law or to satisfy the rules or regulations of a regulatory body or securities exchange with applicable jurisdiction.
                    </paratext>
                  </para>
                  <para>
                    <paratext>
                      Note that a recipient may want to extend the carve-out in 
                      <internal.reference refid="a158830">clause 6.2</internal.reference>
                       to information which it needs to retain for its own internal compliance or auditing procedures. For information on document retention and links to relevant materials, see 
                      <link href="w-036-4090" style="ACTLinkPLCtoPLC">
                        <ital>Records management toolkit (UK)</ital>
                      </link>
                      .
                    </paratext>
                  </para>
                </division>
              </drafting.note>
            </subclause1>
          </clause>
          <clause id="a173962">
            <identifier>7.</identifier>
            <head align="left" preservecase="true">
              <headtext>Reservation of rights and acknowledgement</headtext>
            </head>
            <drafting.note id="a733049" jurisdiction="">
              <head align="left" preservecase="true">
                <headtext>Reservation of rights and acknowledgement</headtext>
              </head>
              <division id="a000023" level="1">
                <para>
                  <paratext>This clause has three functions:</paratext>
                </para>
                <list type="bulleted">
                  <list.item>
                    <para>
                      <paratext>The discloser reserves all its rights in its confidential information to avoid any doubt over ownership of the confidential information.</paratext>
                    </para>
                  </list.item>
                  <list.item>
                    <para>
                      <paratext>Prevents the recipient from establishing reliance on the confidential information.</paratext>
                    </para>
                  </list.item>
                  <list.item>
                    <para>
                      <paratext>Ensures that the discloser is not obliged to agree to further collaboration beyond the exchange of confidential information contemplated in this agreement.</paratext>
                    </para>
                  </list.item>
                </list>
              </division>
            </drafting.note>
            <subclause1 id="a681962">
              <identifier>7.1</identifier>
              <para>
                <paratext>Party 1 reserves all rights in its Confidential Information. The disclosure of Confidential Information by Party 1 to Party 2 does not give Party 2 or any other person any licence or other right in respect of any Confidential Information beyond the rights expressly set out in this agreement.</paratext>
              </para>
            </subclause1>
            <subclause1 id="a587230">
              <identifier>7.2</identifier>
              <para>
                <paratext>Except as expressly stated in this agreement, Party 1 makes no express or implied warranty or representation concerning its Confidential Information, including but not limited to the accuracy or completeness of the Confidential Information.</paratext>
              </para>
            </subclause1>
            <subclause1 id="a814942">
              <identifier>7.3</identifier>
              <para>
                <paratext>The disclosure of Confidential Information by Party 1 shall not form any offer by, or representation or warranty on the part of, Party 1 to enter into any further agreement with Party 2 [in relation to the Purpose or the development or supply of any products or services to which the Confidential Information relates to].</paratext>
              </para>
            </subclause1>
          </clause>
          <clause id="a370216">
            <identifier>8.</identifier>
            <head align="left" preservecase="true">
              <headtext>Indemnity</headtext>
            </head>
            <drafting.note id="a697734" jurisdiction="">
              <head align="left" preservecase="true">
                <headtext>Indemnity</headtext>
              </head>
              <division id="a000024" level="1">
                <para>
                  <paratext>An indemnity is an express obligation to compensate the beneficiary of the indemnity for some defined loss or damage arising from a particular cause, by making a monetary payment to the beneficiary.</paratext>
                </para>
                <para>
                  <paratext>
                    Indemnities may offer the indemnified party several potential advantages over a claim for breach of contract. In particular, if the indemnity is structured so as to give the indemnified party a claim for a debt, rather than breach of contract, the ordinary contractual rules of mitigation and remoteness of loss may not apply to the claim (
                    <link href="D-000-2759" style="ACTLinkPLCtoPLC">
                      <ital>Jervis v Harris [1996] Ch 195</ital>
                    </link>
                     and 
                    <link href="https://uk.practicallaw.thomsonreuters.com/Document/IFCB8A0F0E4B611DAB61499BEED25CD3B/View/FullText.html" style="ACTLinkURL">
                      <ital>Royscott Commercial Leasing Ltd v Ismail (unreported), 29 April 1993, Court of Appeal)</ital>
                    </link>
                    .
                  </paratext>
                </para>
                <para>
                  <paratext>Given the potential advantages of an indemnity claim over a claim for breach of contract, a discloser will sometimes seek an indemnity for loss arising from the misuse or disclosure of confidential information. However, the recipient will naturally resist the inclusion of an indemnity provision, on the basis that if there is a breach of the agreement, the discloser's proper recourse should be a claim for breach of contract. Whether the discloser is ultimately successful in securing an indemnity of the type in this clause will depend on several factors, including prevailing market conditions and the relative bargaining strength of the parties.</paratext>
                </para>
                <para>
                  <paratext>
                    The legal issues in this area are not straightforward. Indemnities must be drafted with care to ensure that they adequately cover the liability or anticipated liability. For general guidance on the key issues to consider when drafting an indemnity, see 
                    <link anchor="a795788" href="1-107-3797" style="ACTLinkPLCtoPLC">
                      <ital>Standard clause, Indemnity: Drafting note: Are there any special points to note when drafting indemnities?</ital>
                    </link>
                    .
                  </paratext>
                </para>
                <para>
                  <paratext>For further consideration of the legal issues relating to indemnities, see:</paratext>
                </para>
                <list type="bulleted">
                  <list.item>
                    <para>
                      <paratext>
                        <link href="w-004-0860" style="ACTLinkPLCtoPLC">
                          <ital>Practice note, Contracts: indemnities</ital>
                        </link>
                        .
                      </paratext>
                    </para>
                  </list.item>
                  <list.item>
                    <para>
                      <paratext>
                        <link href="1-107-3797" style="ACTLinkPLCtoPLC">
                          <ital>Standard clause, Indemnity</ital>
                        </link>
                         and drafting notes.
                      </paratext>
                    </para>
                  </list.item>
                </list>
                <para>
                  <paratext>For further information on the remedies for breach of confidentiality obligations, see Practice notes:</paratext>
                </para>
                <list type="bulleted">
                  <list.item>
                    <para>
                      <paratext>
                        <link anchor="a896624" href="8-384-4456" style="ACTLinkPLCtoPLC">
                          <ital>Practice note, Protecting confidential information: overview: Enforcement and remedies</ital>
                        </link>
                        <ital>.</ital>
                      </paratext>
                    </para>
                  </list.item>
                  <list.item>
                    <para>
                      <paratext>
                        <link anchor="a558842" href="0-107-4684" style="ACTLinkPLCtoPLC">
                          <ital>Confidentiality: acquisitions: Enforcing confidentiality obligations</ital>
                        </link>
                        .
                      </paratext>
                    </para>
                  </list.item>
                </list>
              </division>
            </drafting.note>
            <subclause1 id="a605151">
              <identifier>8.1</identifier>
              <para>
                <paratext>
                  Party 2 shall indemnify Party 1 [and each member of its Group (each an Indemnified Person)]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[Party 1 
                  <bold>OR</bold>
                   each Indemnified Person] arising out of or in connection with any breach of this agreement by Party 2, including as a result of the actions or omissions of any of its Representatives in accordance with clause 4.2.
                </paratext>
              </para>
            </subclause1>
            <subclause1 id="a469674">
              <identifier>8.2</identifier>
              <para>
                <paratext>
                  If a payment due from Party 2 under 
                  <internal.reference refid="a605151">clause 8.1</internal.reference>
                   is subject to tax (whether by way of direct assessment or withholding at its source), [Party 1 
                  <bold>OR</bold>
                   Indemnified Person] shall be entitled to receive from Party 2 such amount as shall ensure that the net receipt, after tax, of [Party 1 
                  <bold>OR</bold>
                   Indemnified Person] in respect of the payment is the same as it would have been were the payment not subject to tax.
                </paratext>
              </para>
              <drafting.note id="a716874" jurisdiction="">
                <head align="left" preservecase="true">
                  <headtext>Gross up</headtext>
                </head>
                <division id="a000025" level="1">
                  <para>
                    <paratext>This subclause provides for the grossing-up of indemnity payments made by the recipient where the payment is subject to tax in the hands of the discloser.</paratext>
                  </para>
                </division>
              </drafting.note>
            </subclause1>
          </clause>
          <clause id="a429965">
            <identifier>9.</identifier>
            <head align="left" preservecase="true">
              <headtext>Inadequacy of damages</headtext>
            </head>
            <drafting.note id="a100394" jurisdiction="">
              <head align="left" preservecase="true">
                <headtext>Inadequacy of damages</headtext>
              </head>
              <division id="a000026" level="1">
                <para>
                  <paratext>This is a standard clause where the recipient acknowledges that damages alone would not be an adequate remedy for a breach of this agreement, and that the discloser is therefore entitled to seek other remedies such as equitable relief or specific performance.</paratext>
                </para>
                <para>
                  <paratext>In practice, an injunction will be of limited usefulness as a remedy once confidential information has been disclosed or used in breach of a confidentiality undertaking. However, they are often the first choice of remedy if the discloser discovers the recipient's intention to misuse confidential information before the breach takes place.</paratext>
                </para>
                <para>
                  <paratext>As injunctions and orders for specific performance are discretionary, this clause aims to persuade a court to exercise its discretion in favour of the discloser by granting the relief sought. The value of such a clause is therefore debatable since the granting of equitable remedies is at the court's discretion.</paratext>
                </para>
                <para>
                  <paratext>
                    For more information on the remedies and potential advantages and limitations of this type of clause, see the integrated drafting notes to 
                    <link href="5-107-3804" style="ACTLinkPLCtoPLC">
                      <ital>Standard clause, Inadequacy of damages</ital>
                    </link>
                    .
                  </paratext>
                </para>
                <division id="a000027" level="2">
                  <division id="a550031" level="3">
                    <head align="left" preservecase="true">
                      <headtext>Trade secrets and remedies</headtext>
                    </head>
                    <para>
                      <paratext>
                        The 
                        <link href="w-014-9127" style="ACTLinkPLCtoPLC">
                          <ital>Trade Secrets Regulations</ital>
                        </link>
                        , which implemented the 
                        <link href="w-015-1298" style="ACTLinkPLCtoPLC">
                          <ital>Trade Secrets Directive</ital>
                        </link>
                         in the UK, is a separate statutory regime for the protection of undisclosed know-how and business information (or trade secrets) against their unlawful acquisition, use and disclosure. The original aim of the Directive was to standardise diverging national laws in the EU on trade secret protection. Despite the fact the UK has now left the EU, the Trade Secrets Regulations have not been impacted. In relation to the remedies available for such unlawful acquisition, disclosure and use of trade secrets, the Trade Secrets Regulations seek to:
                      </paratext>
                    </para>
                    <list type="bulleted">
                      <list.item>
                        <para>
                          <paratext>Align infringement under the Trade Secrets Regulations with common law breach of confidence.</paratext>
                        </para>
                      </list.item>
                      <list.item>
                        <para>
                          <paratext>Ensure that the remedies available for breach of confidence are also available following infringement under the Trade Secrets Regulations.</paratext>
                        </para>
                      </list.item>
                    </list>
                    <para>
                      <paratext>
                        For further detail on the remedies available under both the breach of the equitable duty of confidence and the Trade Secrets Regulations, see 
                        <link href="https://uk.practicallaw.thomsonreuters.com/w-021-1676?originationContext=document&amp;amp;transitionType=DocumentItem&amp;amp;contextData=(sc.Default)" style="ACTLinkURL">
                          <ital>Practice note, Protecting trade secrets: overview</ital>
                        </link>
                        .
                      </paratext>
                    </para>
                    <para>
                      <paratext>
                        For general information on remedies for breach of confidentiality obligations, see 
                        <link anchor="a896624" href="8-384-4456" style="ACTLinkPLCtoPLC">
                          <ital>Practice note, Protecting confidential information: overview: Enforcement and remedies</ital>
                        </link>
                        .
                      </paratext>
                    </para>
                  </division>
                </division>
              </division>
            </drafting.note>
            <subclause1 id="a244984">
              <para>
                <paratext>Without prejudice to any other rights or remedies that Party 1 may have, Party 2 acknowledges and agrees that damages alone would not be an adequate remedy for any breach of the terms of this agreement. Accordingly, Party 1 shall be entitled to the remedies of injunctions, specific performance or other equitable relief for any threatened or actual breach of this agreement by Party 2.</paratext>
              </para>
            </subclause1>
          </clause>
          <clause id="a930845">
            <identifier>10.</identifier>
            <head align="left" preservecase="true">
              <headtext>No obligation to continue discussions</headtext>
            </head>
            <subclause1 id="a310238">
              <para>
                <paratext>Nothing in this agreement shall impose an obligation on Party 1 to continue discussions or negotiations in connection with the Purpose, or an obligation on Party 1[, or any of its Group Companies,] to disclose any information (whether Confidential Information or otherwise) to Party 2.</paratext>
              </para>
            </subclause1>
          </clause>
          <clause id="a600894">
            <identifier>11.</identifier>
            <head align="left" preservecase="true">
              <headtext>Ending discussions and duration of confidentiality obligations</headtext>
            </head>
            <drafting.note id="a411303" jurisdiction="">
              <head align="left" preservecase="true">
                <headtext>Ending discussions and duration of confidentiality obligations</headtext>
              </head>
              <division id="a000028" level="1">
                <division id="a840870" level="2">
                  <head align="left" preservecase="true">
                    <headtext>Actively ending discussions</headtext>
                  </head>
                  <para>
                    <paratext>
                      <internal.reference refid="a598937">clause 11.1</internal.reference>
                       enables the discloser to end discussions by written notice to the recipient.
                    </paratext>
                  </para>
                  <para>
                    <paratext>Parties will not always actively end discussions by giving such notice. It is more likely that if the parties are no longer interested to pursue the purpose together, their discussions will gradually decrease before stopping altogether. But for completeness, the option to actively end discussions has been included should the discloser choose to end discussions this way.</paratext>
                  </para>
                </division>
                <division id="a329418" level="2">
                  <head align="left" preservecase="true">
                    <headtext>Duration of confidentiality obligations</headtext>
                  </head>
                  <para>
                    <paratext>
                      Regardless of whether or not the discussions are actively ended pursuant to 
                      <internal.reference refid="a598937">clause 11.1</internal.reference>
                      , 
                      <internal.reference refid="a820176">clause 11.2</internal.reference>
                       provides that the confidentiality obligations will last for two years from the date of the agreement. The duration of the confidentiality obligations is one for discussion between the parties, but it is fairly standard to have a term of between two to five years.
                    </paratext>
                  </para>
                  <para>
                    <paratext>There is no public policy constraint in relation to the duration of confidentiality undertakings so it is theoretically possible to provide for the confidentiality obligations in the agreement to continue indefinitely. However, the courts are unlikely to uphold undertakings that relate to information that has lost its confidential character due to it becoming out of date or ceasing to have any commercial value. Parties would also be reluctant to accept an obligation with an open-ended term as this would require compliance-monitoring for an indefinite period.</paratext>
                  </para>
                  <para>
                    <paratext>While technical information can remain of commercial value almost indefinitely, business information may only remain valuable for a short time. Accordingly, the parties should set a realistic time period for the duration of the confidentiality obligations in this agreement by reference to the type of information being protected.</paratext>
                  </para>
                </division>
              </division>
            </drafting.note>
            <subclause1 id="a598937">
              <identifier>11.1</identifier>
              <para>
                <paratext>If Party 1 decides not to continue to be involved in the Purpose with Party 2, it shall notify Party 2 in writing immediately.</paratext>
              </para>
            </subclause1>
            <subclause1 id="a820176">
              <identifier>11.2</identifier>
              <para>
                <paratext>
                  Notwithstanding the end of discussions between the parties in relation to the Purpose pursuant to 
                  <internal.reference refid="a598937">clause 11.1</internal.reference>
                  , each party's obligations under this agreement shall continue in full force and effect for a period of [two] years from the date of this agreement.
                </paratext>
              </para>
            </subclause1>
            <subclause1 id="a968272">
              <identifier>11.3</identifier>
              <para>
                <paratext>The end of discussions relating to the Purpose shall not affect any accrued rights or remedies to which either party is entitled.</paratext>
              </para>
            </subclause1>
          </clause>
          <clause id="a602288">
            <identifier>12.</identifier>
            <head align="left" preservecase="true">
              <headtext>No partnership or agency</headtext>
            </head>
            <drafting.note id="a973552" jurisdiction="">
              <head align="left" preservecase="true">
                <headtext>No partnership or agency</headtext>
              </head>
              <division id="a000029" level="1">
                <para>
                  <paratext>The principal object of a no partnership or agency clause is to exclude the risk of an agreement creating an unwanted partnership or agency relationship between the parties. This could be particularly relevant in the context of a confidentiality agreement where the parties are still at a preliminary phase of a project. At such an early stage, these discussions may just be to gather information or to see if the parties are compatible to work together. As such, the parties will want to ensure that they do not inadvertently or unwillingly form some sort of unwanted alliance with the other.</paratext>
                </para>
                <para>
                  <paratext>
                    For further information, see the integrated drafting notes to 
                    <link href="4-107-3814" style="ACTLinkPLCtoPLC">
                      <ital>Standard clause, No partnership or agency</ital>
                    </link>
                    .
                  </paratext>
                </para>
              </division>
            </drafting.note>
            <subclause1 id="a309383">
              <identifier>12.1</identifier>
              <para>
                <paratext>Nothing in this agreement is intended to, or shall be deemed to, establish any partnership or joint venture between the parties, constitute any party the agent of another party, or authorise any party to make or enter into any commitments for or on behalf of any other party.</paratext>
              </para>
            </subclause1>
            <subclause1 id="a662277">
              <identifier>12.2</identifier>
              <para>
                <paratext>Each party confirms it is acting on its own behalf and not for the benefit of any other person.</paratext>
              </para>
            </subclause1>
          </clause>
          <clause id="a699531">
            <identifier>13.</identifier>
            <head align="left" preservecase="true">
              <headtext>General</headtext>
            </head>
            <subclause1 id="a888667">
              <identifier>13.1</identifier>
              <para>
                <paratext>
                  <bold>Assignment and other dealings.</bold>
                   Neither party shall assign, transfer, mortgage, charge, subcontract, declare a trust over or deal in any other manner with any of its rights and obligations under this agreement.
                </paratext>
              </para>
              <drafting.note id="a626748" jurisdiction="">
                <head align="left" preservecase="true">
                  <headtext>Assignment and other dealings</headtext>
                </head>
                <division id="a000030" level="1">
                  <para>
                    <paratext>
                      This clause assumes that the parties do not want each other to be able to assign or otherwise transfer its rights and obligations under the agreement. Alternative forms of this clause may include an option to transfer subject to the other party's prior written consent, or a carve-out for intra-group transfers, for which see 
                      <link href="5-107-3823" style="ACTLinkPLCtoPLC">
                        <ital>Standard clause, Assignment and other dealings</ital>
                      </link>
                      .
                    </paratext>
                  </para>
                </division>
              </drafting.note>
            </subclause1>
            <subclause1 id="a995126">
              <identifier>13.2</identifier>
              <para>
                <paratext>
                  <bold>Entire agreement.</bold>
                </paratext>
              </para>
              <subclause2 id="a302957">
                <identifier>(a)</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2>
              <subclause2 id="a885630">
                <identifier>(b)</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drafting.note id="a949769" jurisdiction="">
                  <head align="left" preservecase="true">
                    <headtext>Entire agreement</headtext>
                  </head>
                  <division id="a000031" level="1">
                    <para>
                      <paratext>
                        For information on entire agreement clauses, see the integrated drafting notes to 
                        <link href="2-107-3834" style="ACTLinkPLCtoPLC">
                          <ital>Standard clause, Entire agreement</ital>
                        </link>
                        .
                      </paratext>
                    </para>
                  </division>
                </drafting.note>
              </subclause2>
            </subclause1>
            <subclause1 id="a768732">
              <identifier>13.3</identifier>
              <para>
                <paratext>
                  <bold>Variation.</bold>
                   No variation of this agreement shall be effective unless it is in writing and signed by the parties (or their authorised representatives).
                </paratext>
              </para>
              <drafting.note id="a582314" jurisdiction="">
                <head align="left" preservecase="true">
                  <headtext>Variation</headtext>
                </head>
                <division id="a000032" level="1">
                  <para>
                    <paratext>
                      For information on variation clauses, see the integrated drafting notes to 
                      <link href="3-107-3838" style="ACTLinkPLCtoPLC">
                        <ital>Standard clause, Variation</ital>
                      </link>
                      .
                    </paratext>
                  </para>
                </division>
              </drafting.note>
            </subclause1>
            <subclause1 id="a710596">
              <identifier>13.4</identifier>
              <para>
                <paratext>
                  <bold>Waiver.</bold>
                   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paratext>
              </para>
              <drafting.note id="a246233" jurisdiction="">
                <head align="left" preservecase="true">
                  <headtext>Waiver</headtext>
                </head>
                <division id="a000033" level="1">
                  <para>
                    <paratext>
                      For information on waiver clauses, see the integrated drafting notes to 
                      <link href="0-107-3806" style="ACTLinkPLCtoPLC">
                        <ital>Standard clause, Waiver</ital>
                      </link>
                      .
                    </paratext>
                  </para>
                </division>
              </drafting.note>
            </subclause1>
            <subclause1 id="a558446">
              <identifier>13.5</identifier>
              <para>
                <paratext>
                  <bold>Severance</bold>
                </paratext>
              </para>
              <subclause2 id="a735044">
                <identifier>(a)</identifier>
                <para>
                  <paratext>If any provision or part-provision of this agreement is or becomes invalid, illegal or unenforceable, it shall be deemed deleted, but that shall not affect the validity and enforceability of the rest of this agreement.</paratext>
                </para>
              </subclause2>
              <subclause2 id="a614875">
                <identifier>(b)</identifier>
                <para>
                  <paratext>
                    If any provision or part-provision of this agreement is deemed deleted under 
                    <internal.reference refid="a735044">clause 13.5(a)</internal.reference>
                    , the parties shall negotiate in good faith to agree a replacement provision that, to the greatest extent possible, achieves the intended commercial result of the original provision.
                  </paratext>
                </para>
                <drafting.note id="a887773" jurisdiction="">
                  <head align="left" preservecase="true">
                    <headtext>Severance</headtext>
                  </head>
                  <division id="a000034" level="1">
                    <para>
                      <paratext>
                        This severance clause does include an obligation on the parties to negotiate in good faith to amend the clause to make it enforceable. For alternative drafting options and information on severance clauses, see 
                        <link href="9-107-3840" style="ACTLinkPLCtoPLC">
                          <ital>Standard clause, Severance</ital>
                        </link>
                         and its integrated drafting notes.
                      </paratext>
                    </para>
                  </division>
                </drafting.note>
              </subclause2>
            </subclause1>
            <subclause1 id="a730299">
              <identifier>13.6</identifier>
              <para>
                <paratext>
                  <bold>Notices</bold>
                </paratext>
              </para>
              <subclause2 id="a802563">
                <identifier>(a)</identifier>
                <para>
                  <paratext>Any notice [or other communication] given to a party under or in connection with this agreement shall be in writing and shall be:</paratext>
                </para>
                <subclause3 id="a230757">
                  <identifier>(i)</identifier>
                  <para>
                    <paratext>delivered by hand or by pre-paid first-class post or other next working day delivery service at its registered office (if a company) or its principal place of business (in any other case); or</paratext>
                  </para>
                </subclause3>
                <subclause3 id="a446276">
                  <identifier>(ii)</identifier>
                  <para>
                    <paratext>[[sent by fax to its main fax number][ or][ sent by email to the address specified in [SPECIFY RELEVANT DOCUMENT OR CLAUSE]].]</paratext>
                  </para>
                </subclause3>
              </subclause2>
              <subclause2 id="a101076">
                <identifier>(b)</identifier>
                <para>
                  <paratext>Any notice [or communication] shall be deemed to have been received:</paratext>
                </para>
                <subclause3 id="a225317">
                  <identifier>(i)</identifier>
                  <para>
                    <paratext>if delivered by hand, at the time the notice is left at the proper address;</paratext>
                  </para>
                </subclause3>
                <subclause3 id="a746526">
                  <identifier>(ii)</identifier>
                  <para>
                    <paratext>if sent by [pre-paid first-class post or other] next working day delivery service, at [9.00 am] on the [second] Business Day after posting; [or]</paratext>
                  </para>
                </subclause3>
                <subclause3 id="a567477">
                  <identifier>(iii)</identifier>
                  <para>
                    <paratext>
                      [if sent by [fax][or] [email], at the time of transmission, or, if this time falls outside business hours in the place of receipt, when business hours resume. In this 
                      <internal.reference refid="a567477">clause 13.6(b)(iii)</internal.reference>
                      , business hours means 9.00 am to 5.00 pm Monday to Friday on a day that is not a public holiday in the place of receipt.]
                    </paratext>
                  </para>
                </subclause3>
              </subclause2>
              <subclause2 id="a475531">
                <identifier>(c)</identifier>
                <para>
                  <paratext>This clause does not apply to the service of any proceedings or other documents in any legal action or, where applicable, any arbitration or other method of dispute resolution.</paratext>
                </para>
              </subclause2>
              <subclause2 id="a878933">
                <identifier>(d)</identifier>
                <para>
                  <paratext>[A notice given under this agreement is not valid if sent by email.]</paratext>
                </para>
                <drafting.note id="a970624" jurisdiction="">
                  <head align="left" preservecase="true">
                    <headtext>Notices</headtext>
                  </head>
                  <division id="a000035" level="1">
                    <para>
                      <paratext>
                        This clause provides the option for notice to be given by email. If including this option, see also 
                        <internal.reference refid="a813964">clause 1.2(c)</internal.reference>
                         relating to "writing" and "written", and make sure the two provisions are consistent.
                      </paratext>
                    </para>
                    <para>
                      <paratext>
                        For information on notice clauses, see the integrated drafting notes to 
                        <link href="5-107-3842" style="ACTLinkPLCtoPLC">
                          <ital>Standard clause, Notices</ital>
                        </link>
                         and 
                        <link href="3-107-3843" style="ACTLinkPLCtoPLC">
                          <ital>Practice note, Notice clauses</ital>
                        </link>
                        .
                      </paratext>
                    </para>
                  </division>
                </drafting.note>
              </subclause2>
            </subclause1>
            <subclause1 id="a829411">
              <identifier>13.7</identifier>
              <para>
                <paratext>
                  <bold>Third party rights.</bold>
                </paratext>
              </para>
              <subclause2 id="a404685">
                <identifier>(a)</identifier>
                <para>
                  <paratext>[Unless it expressly states otherwise,] this agreement does not give rise to any rights under the Contracts (Rights of Third Parties) Act 1999 to enforce any term of this agreement.</paratext>
                </para>
              </subclause2>
              <subclause2 id="a353784">
                <identifier>(b)</identifier>
                <para>
                  <paratext>[The rights of the parties to rescind or vary this agreement are not subject to the consent of any other person.]</paratext>
                </para>
                <drafting.note id="a764775" jurisdiction="">
                  <head align="left" preservecase="true">
                    <headtext>Third party rights</headtext>
                  </head>
                  <division id="a000036" level="1">
                    <para>
                      <paratext>
                        For information on third party rights clauses, see the integrated drafting notes to 
                        <link href="6-107-3846" style="ACTLinkPLCtoPLC">
                          <ital>Standard clause, Third party rights</ital>
                        </link>
                        .
                      </paratext>
                    </para>
                  </division>
                </drafting.note>
              </subclause2>
            </subclause1>
            <subclause1 id="a179673">
              <identifier>13.8</identifier>
              <para>
                <paratext>
                  <bold>Governing law.</bold>
                   This agreement and any dispute or claim (including non-contractual disputes or claims) arising out of or in connection with it or its subject matter or formation shall be governed by and construed in accordance with the law of England and Wales.
                </paratext>
              </para>
              <drafting.note id="a613676" jurisdiction="">
                <head align="left" preservecase="true">
                  <headtext>Governing law</headtext>
                </head>
                <division id="a000037" level="1">
                  <para>
                    <paratext>For information on governing law clauses, see:</paratext>
                  </para>
                  <list type="bulleted">
                    <list.item>
                      <para>
                        <paratext>
                          The integrated drafting notes to 
                          <link href="8-107-3850" style="ACTLinkPLCtoPLC">
                            <ital>Standard clause, Governing law</ital>
                          </link>
                          .
                        </paratext>
                      </para>
                    </list.item>
                    <list.item>
                      <para>
                        <paratext>
                          <link href="4-107-3852" style="ACTLinkPLCtoPLC">
                            <ital>Practice note, Governing law and jurisdiction clauses</ital>
                          </link>
                          .
                        </paratext>
                      </para>
                    </list.item>
                  </list>
                  <division id="a000038" level="2">
                    <division id="a605559" level="3">
                      <head align="left" preservecase="true">
                        <headtext>Uniformity of governing law and jurisdiction clauses in subsequent agreements</headtext>
                      </head>
                      <para>
                        <paratext>
                          See 
                          <internal.reference refid="a998202">Drafting note, Jurisdiction</internal.reference>
                          .
                        </paratext>
                      </para>
                    </division>
                  </division>
                </division>
              </drafting.note>
            </subclause1>
            <subclause1 id="a707938">
              <identifier>13.9</identifier>
              <para>
                <paratext>
                  <bold>Jurisdiction.</bold>
                   Each party irrevocably agrees that the courts of England and Wales shall have exclusive jurisdiction to settle any dispute or claim (including non-contractual disputes or claims) arising out of or in connection with this agreement or its subject matter or formation.
                </paratext>
              </para>
              <drafting.note id="a998202" jurisdiction="">
                <head align="left" preservecase="true">
                  <headtext>Jurisdiction</headtext>
                </head>
                <division id="a000039" level="1">
                  <para>
                    <paratext>For information on jurisdiction clauses, see:</paratext>
                  </para>
                  <list type="bulleted">
                    <list.item>
                      <para>
                        <paratext>
                          The integrated drafting notes to 
                          <link href="9-522-6848" style="ACTLinkPLCtoPLC">
                            <ital>Standard clause, Jurisdiction</ital>
                          </link>
                          .
                        </paratext>
                      </para>
                    </list.item>
                    <list.item>
                      <para>
                        <paratext>
                          <link href="4-107-3852" style="ACTLinkPLCtoPLC">
                            <ital>Practice note, Governing law and jurisdiction clauses</ital>
                          </link>
                          .
                        </paratext>
                      </para>
                    </list.item>
                  </list>
                  <division id="a000040" level="2">
                    <division id="a716483" level="3">
                      <head align="left" preservecase="true">
                        <headtext>Uniformity of governing law and jurisdiction clauses in subsequent agreements</headtext>
                      </head>
                      <para>
                        <paratext>A confidentiality agreement is normally a prelude to further agreements between the parties. For example, the parties may end up signing a services agreement after their discussions pursuant to a confidentiality agreement. Consideration should therefore be given to the governing law of any (prospective) subsequent agreements as well. From a commercial perspective, it would be preferable to ensure that the governing law and jurisdiction clauses across a suite of related agreements are the same. This would minimise the risk of a party subsequently having to defend claims relating to the same transaction across different jurisdictions.</paratext>
                      </para>
                      <para>
                        <paratext>
                          For a case that considers the issue of conflicting jurisdiction clauses in two separate but related agreements, see 
                          <link href="9-595-2886" style="ACTLinkPLCtoPLC">
                            <ital>Legal update, High Court considers conflicting jurisdiction clauses in a novation deed and novated agreement</ital>
                          </link>
                          .
                        </paratext>
                      </para>
                    </division>
                  </division>
                </division>
              </drafting.note>
            </subclause1>
          </clause>
        </operative>
        <testimonium default="true" wording="contract">
          <para>
            <paratext>This agreement has been entered into on the date stated at the beginning of it.</paratext>
          </para>
        </testimonium>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PARTY 1]</paratext>
                        </para>
                      </entry>
                      <entry valign="top">
                        <para>
                          <paratext/>
                        </para>
                      </entry>
                      <entry valign="top">
                        <para align="left">
                          <paratext>....................</paratext>
                        </para>
                        <para align="left">
                          <paratext>Director</paratext>
                        </para>
                      </entry>
                    </row>
                    <row>
                      <entry valign="top">
                        <para align="left">
                          <paratext>Signed by [NAME OF DIRECTOR]  for and on behalf of [NAME OF PARTY 2]</paratext>
                        </para>
                      </entry>
                      <entry valign="top">
                        <para>
                          <paratext/>
                        </para>
                      </entry>
                      <entry valign="top">
                        <para align="left">
                          <paratext>....................</paratext>
                        </para>
                        <para align="left">
                          <paratext>Director</paratext>
                        </para>
                      </entry>
                    </row>
                  </tbody>
                </tgroup>
              </table>
            </paratext>
          </para>
        </signature>
      </body>
      <rev.history>
        <rev.item>
          <rev.title>Possible effect of a non-compete covenant in an NDA (August 2021)</rev.title>
          <rev.date>20210803</rev.date>
          <rev.author>Practical Law Commercial</rev.author>
          <rev.body>
            <division id="a000001" level="1">
              <para>
                <paratext>
                  We have updated the drafting notes to make reference to the comment made by the Supreme Court in 
                  <link href="D-106-1455" style="ACTLinkPLCtoPLC">
                    <ital>Harcus Sinclair LLP and another v Your Lawyers Ltd [2021] UKSC 32</ital>
                  </link>
                  , that a non-compete undertaking may be a useful means of protecting confidential information in an NDA.
                </paratext>
              </para>
            </division>
          </rev.body>
        </rev.item>
        <rev.item>
          <rev.title>Equitable duty of confidence not affected by Trade Secrets Directive (March 2020)</rev.title>
          <rev.date>20200330</rev.date>
          <rev.author>PL Commercial</rev.author>
          <rev.body>
            <division id="a000002" level="1">
              <para>
                <paratext>
                  We have updated the drafting notes to this Standard document to make reference to High Court's decision in 
                  <link href="https://uk.practicallaw.thomsonreuters.com/D-104-7896?originationContext=document&amp;amp;transitionType=PLDocumentLink&amp;amp;contextData=%28sc.Default%29&amp;amp;comp=pluk" style="ACTLinkURL">
                    <ital>Trailfinders Ltd v Travel Counsellors Ltd &amp; Ors [2020] EWHC 591 (IPEC)</ital>
                  </link>
                  <ital> </ital>
                  seemingly the first judicial reference made to the 
                  <link href="w-015-1298" style="ACTLinkPLCtoPLC">
                    <ital>Trade Secrets Directive</ital>
                  </link>
                  <ital> </ital>
                  (
                  <ital>2016/943/EU</ital>
                  ) shedding some light on its interplay with the equitable doctrine of confidence.
                </paratext>
              </para>
            </division>
          </rev.body>
        </rev.item>
      </rev.history>
    </standard.doc>
  </n-docbody>
</n-document>
</file>

<file path=customXml/item4.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6A32382E-DAA7-466F-88F2-896E8DE00B70}">
  <ds:schemaRefs>
    <ds:schemaRef ds:uri="http://www.w3.org/2001/XMLSchema"/>
  </ds:schemaRefs>
</ds:datastoreItem>
</file>

<file path=customXml/itemProps4.xml><?xml version="1.0" encoding="utf-8"?>
<ds:datastoreItem xmlns:ds="http://schemas.openxmlformats.org/officeDocument/2006/customXml" ds:itemID="{477A5FCB-40BE-4070-ADA8-B9367E2DE52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Jessica</dc:creator>
  <cp:lastModifiedBy>James OConnell</cp:lastModifiedBy>
  <cp:revision>5</cp:revision>
  <dcterms:created xsi:type="dcterms:W3CDTF">2024-05-27T07:52:00Z</dcterms:created>
  <dcterms:modified xsi:type="dcterms:W3CDTF">2024-05-27T07:54:00Z</dcterms:modified>
</cp:coreProperties>
</file>